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10CF4" w14:textId="768352D1" w:rsidR="007177C5" w:rsidRPr="007177C5" w:rsidRDefault="007177C5" w:rsidP="001D2D9C">
      <w:pPr>
        <w:pStyle w:val="Heading1"/>
        <w:jc w:val="left"/>
        <w:rPr>
          <w:rFonts w:ascii="Arial" w:hAnsi="Arial" w:cs="Arial"/>
          <w:b/>
          <w:bCs/>
          <w:color w:val="10263B"/>
          <w:sz w:val="28"/>
          <w:szCs w:val="28"/>
        </w:rPr>
      </w:pPr>
      <w:bookmarkStart w:id="0" w:name="_GoBack"/>
      <w:bookmarkEnd w:id="0"/>
      <w:r w:rsidRPr="007177C5">
        <w:rPr>
          <w:rFonts w:ascii="Arial" w:hAnsi="Arial" w:cs="Arial"/>
          <w:b/>
          <w:bCs/>
          <w:color w:val="10263B"/>
          <w:sz w:val="28"/>
          <w:szCs w:val="28"/>
        </w:rPr>
        <w:t xml:space="preserve">Academic Promotion </w:t>
      </w:r>
      <w:r w:rsidR="00FE2FC5">
        <w:rPr>
          <w:rFonts w:ascii="Arial" w:hAnsi="Arial" w:cs="Arial"/>
          <w:b/>
          <w:bCs/>
          <w:color w:val="10263B"/>
          <w:sz w:val="28"/>
          <w:szCs w:val="28"/>
        </w:rPr>
        <w:t>Guidance for Applicants</w:t>
      </w:r>
    </w:p>
    <w:p w14:paraId="3CBC8145" w14:textId="77777777" w:rsidR="005C5E13" w:rsidRDefault="005C5E13" w:rsidP="001D2D9C">
      <w:pPr>
        <w:tabs>
          <w:tab w:val="num" w:pos="360"/>
        </w:tabs>
        <w:jc w:val="left"/>
      </w:pPr>
    </w:p>
    <w:p w14:paraId="7B179030" w14:textId="672E4176" w:rsidR="005C5E13" w:rsidRDefault="00C137AE" w:rsidP="001D2D9C">
      <w:pPr>
        <w:tabs>
          <w:tab w:val="num" w:pos="360"/>
        </w:tabs>
        <w:jc w:val="left"/>
        <w:rPr>
          <w:sz w:val="22"/>
          <w:szCs w:val="22"/>
        </w:rPr>
      </w:pPr>
      <w:r>
        <w:rPr>
          <w:sz w:val="22"/>
          <w:szCs w:val="22"/>
        </w:rPr>
        <w:t xml:space="preserve">This guidance is intended for </w:t>
      </w:r>
      <w:r w:rsidR="005D41EE">
        <w:rPr>
          <w:sz w:val="22"/>
          <w:szCs w:val="22"/>
        </w:rPr>
        <w:t>staff wishing to apply for promotion</w:t>
      </w:r>
      <w:r w:rsidR="006F734E">
        <w:rPr>
          <w:sz w:val="22"/>
          <w:szCs w:val="22"/>
        </w:rPr>
        <w:t xml:space="preserve"> to provide </w:t>
      </w:r>
      <w:r w:rsidR="00B04A78">
        <w:rPr>
          <w:sz w:val="22"/>
          <w:szCs w:val="22"/>
        </w:rPr>
        <w:t xml:space="preserve">additional information and context </w:t>
      </w:r>
      <w:r w:rsidR="006F734E">
        <w:rPr>
          <w:sz w:val="22"/>
          <w:szCs w:val="22"/>
        </w:rPr>
        <w:t xml:space="preserve">to the </w:t>
      </w:r>
      <w:r w:rsidR="006F734E" w:rsidRPr="00AF5936">
        <w:rPr>
          <w:sz w:val="22"/>
          <w:szCs w:val="22"/>
        </w:rPr>
        <w:t>Academic Promotion Procedure</w:t>
      </w:r>
      <w:r w:rsidR="006F734E">
        <w:rPr>
          <w:sz w:val="22"/>
          <w:szCs w:val="22"/>
        </w:rPr>
        <w:t>.</w:t>
      </w:r>
      <w:r w:rsidR="005D41EE">
        <w:rPr>
          <w:sz w:val="22"/>
          <w:szCs w:val="22"/>
        </w:rPr>
        <w:t xml:space="preserve"> </w:t>
      </w:r>
    </w:p>
    <w:p w14:paraId="7C2B1A76" w14:textId="77777777" w:rsidR="008221FD" w:rsidRDefault="008221FD" w:rsidP="001D2D9C">
      <w:pPr>
        <w:tabs>
          <w:tab w:val="num" w:pos="360"/>
        </w:tabs>
        <w:jc w:val="left"/>
        <w:rPr>
          <w:sz w:val="22"/>
          <w:szCs w:val="22"/>
        </w:rPr>
      </w:pPr>
    </w:p>
    <w:p w14:paraId="50685544" w14:textId="6CDAC12E" w:rsidR="00DE5083" w:rsidRPr="00BF2653" w:rsidRDefault="00DE5083" w:rsidP="00DE5083">
      <w:pPr>
        <w:pStyle w:val="NoSpacing"/>
        <w:rPr>
          <w:rFonts w:ascii="Arial" w:hAnsi="Arial" w:cs="Arial"/>
          <w:sz w:val="22"/>
        </w:rPr>
      </w:pPr>
      <w:r>
        <w:rPr>
          <w:rFonts w:ascii="Arial" w:hAnsi="Arial" w:cs="Arial"/>
          <w:sz w:val="22"/>
        </w:rPr>
        <w:t xml:space="preserve">The documents referenced in this guidance can all be found on the </w:t>
      </w:r>
      <w:hyperlink r:id="rId10" w:history="1">
        <w:r w:rsidRPr="00875286">
          <w:rPr>
            <w:rStyle w:val="Hyperlink"/>
            <w:rFonts w:ascii="Arial" w:hAnsi="Arial" w:cs="Arial"/>
            <w:sz w:val="22"/>
          </w:rPr>
          <w:t>Academic Promotion web</w:t>
        </w:r>
        <w:r w:rsidR="00332371">
          <w:rPr>
            <w:rStyle w:val="Hyperlink"/>
            <w:rFonts w:ascii="Arial" w:hAnsi="Arial" w:cs="Arial"/>
            <w:sz w:val="22"/>
          </w:rPr>
          <w:t xml:space="preserve"> </w:t>
        </w:r>
        <w:r w:rsidRPr="00875286">
          <w:rPr>
            <w:rStyle w:val="Hyperlink"/>
            <w:rFonts w:ascii="Arial" w:hAnsi="Arial" w:cs="Arial"/>
            <w:sz w:val="22"/>
          </w:rPr>
          <w:t>pages</w:t>
        </w:r>
      </w:hyperlink>
      <w:r>
        <w:rPr>
          <w:rFonts w:ascii="Arial" w:hAnsi="Arial" w:cs="Arial"/>
          <w:sz w:val="22"/>
        </w:rPr>
        <w:t>.</w:t>
      </w:r>
    </w:p>
    <w:p w14:paraId="693E3D05" w14:textId="77777777" w:rsidR="005C5E13" w:rsidRDefault="005C5E13" w:rsidP="001D2D9C">
      <w:pPr>
        <w:tabs>
          <w:tab w:val="num" w:pos="360"/>
        </w:tabs>
        <w:jc w:val="left"/>
      </w:pPr>
    </w:p>
    <w:p w14:paraId="3A04C9E4" w14:textId="34D35AA1" w:rsidR="007E29F0" w:rsidRDefault="002F2153" w:rsidP="001D2D9C">
      <w:pPr>
        <w:pStyle w:val="Heading2"/>
        <w:numPr>
          <w:ilvl w:val="0"/>
          <w:numId w:val="1"/>
        </w:numPr>
        <w:jc w:val="left"/>
        <w:rPr>
          <w:rFonts w:ascii="Arial" w:eastAsia="Arial" w:hAnsi="Arial" w:cs="Arial"/>
          <w:b/>
          <w:bCs/>
          <w:color w:val="10263B"/>
          <w:sz w:val="24"/>
          <w:szCs w:val="24"/>
        </w:rPr>
      </w:pPr>
      <w:r w:rsidRPr="00AE46D7">
        <w:rPr>
          <w:rFonts w:ascii="Arial" w:eastAsia="Arial" w:hAnsi="Arial" w:cs="Arial"/>
          <w:b/>
          <w:bCs/>
          <w:color w:val="10263B"/>
          <w:sz w:val="24"/>
          <w:szCs w:val="24"/>
        </w:rPr>
        <w:t>Introduction</w:t>
      </w:r>
    </w:p>
    <w:p w14:paraId="4E90ED62" w14:textId="77777777" w:rsidR="00AE46D7" w:rsidRPr="00AE46D7" w:rsidRDefault="00AE46D7" w:rsidP="001D2D9C">
      <w:pPr>
        <w:jc w:val="left"/>
        <w:rPr>
          <w:rFonts w:eastAsia="Arial"/>
        </w:rPr>
      </w:pPr>
    </w:p>
    <w:p w14:paraId="71BC5B2B" w14:textId="29423087" w:rsidR="00AE46D7" w:rsidRPr="00AE46D7" w:rsidRDefault="00AE46D7" w:rsidP="001D2D9C">
      <w:pPr>
        <w:jc w:val="left"/>
        <w:rPr>
          <w:color w:val="C00000"/>
          <w:sz w:val="22"/>
          <w:szCs w:val="22"/>
        </w:rPr>
      </w:pPr>
      <w:r w:rsidRPr="00AE46D7">
        <w:rPr>
          <w:sz w:val="22"/>
          <w:szCs w:val="22"/>
        </w:rPr>
        <w:t xml:space="preserve">The University’s academic promotion process recognises and rewards the demonstration of excellence in the work of our academic staff in support of the </w:t>
      </w:r>
      <w:hyperlink r:id="rId11" w:history="1">
        <w:r w:rsidR="00870682">
          <w:rPr>
            <w:rStyle w:val="Hyperlink"/>
            <w:sz w:val="22"/>
            <w:szCs w:val="22"/>
          </w:rPr>
          <w:t>University strategy</w:t>
        </w:r>
      </w:hyperlink>
      <w:r w:rsidRPr="00AE46D7">
        <w:rPr>
          <w:sz w:val="22"/>
          <w:szCs w:val="22"/>
        </w:rPr>
        <w:t xml:space="preserve"> and in line with our</w:t>
      </w:r>
      <w:r w:rsidRPr="00AE46D7">
        <w:rPr>
          <w:color w:val="C00000"/>
          <w:sz w:val="22"/>
          <w:szCs w:val="22"/>
        </w:rPr>
        <w:t xml:space="preserve"> </w:t>
      </w:r>
      <w:hyperlink r:id="rId12">
        <w:r w:rsidR="00870682">
          <w:rPr>
            <w:rStyle w:val="Hyperlink"/>
            <w:sz w:val="22"/>
            <w:szCs w:val="22"/>
          </w:rPr>
          <w:t>University values.</w:t>
        </w:r>
      </w:hyperlink>
    </w:p>
    <w:p w14:paraId="6202853E" w14:textId="77777777" w:rsidR="00AE46D7" w:rsidRPr="00AE46D7" w:rsidRDefault="00AE46D7" w:rsidP="001D2D9C">
      <w:pPr>
        <w:jc w:val="left"/>
        <w:rPr>
          <w:sz w:val="22"/>
          <w:szCs w:val="22"/>
        </w:rPr>
      </w:pPr>
    </w:p>
    <w:p w14:paraId="15BE88D9" w14:textId="6D2A5A7A" w:rsidR="00AE46D7" w:rsidRDefault="00AE46D7" w:rsidP="001D2D9C">
      <w:pPr>
        <w:jc w:val="left"/>
        <w:rPr>
          <w:sz w:val="22"/>
          <w:szCs w:val="22"/>
        </w:rPr>
      </w:pPr>
      <w:r w:rsidRPr="00AE46D7">
        <w:rPr>
          <w:sz w:val="22"/>
          <w:szCs w:val="22"/>
        </w:rPr>
        <w:t xml:space="preserve">The academic promotion process is designed to be fair, transparent and inclusive and is applicable to staff within the Research and Teaching (Research and </w:t>
      </w:r>
      <w:r w:rsidR="184D6C3A" w:rsidRPr="1851F529">
        <w:rPr>
          <w:sz w:val="22"/>
          <w:szCs w:val="22"/>
        </w:rPr>
        <w:t>T</w:t>
      </w:r>
      <w:r w:rsidRPr="00AE46D7">
        <w:rPr>
          <w:sz w:val="22"/>
          <w:szCs w:val="22"/>
        </w:rPr>
        <w:t xml:space="preserve">eaching, Teaching and Curriculum </w:t>
      </w:r>
      <w:r w:rsidR="06B5297B" w:rsidRPr="1851F529">
        <w:rPr>
          <w:sz w:val="22"/>
          <w:szCs w:val="22"/>
        </w:rPr>
        <w:t>L</w:t>
      </w:r>
      <w:r w:rsidRPr="00AE46D7">
        <w:rPr>
          <w:sz w:val="22"/>
          <w:szCs w:val="22"/>
        </w:rPr>
        <w:t xml:space="preserve">eadership and Research) job family, including seconded staff in UNMC and UNNC. </w:t>
      </w:r>
    </w:p>
    <w:p w14:paraId="5C6541AD" w14:textId="77777777" w:rsidR="0058532A" w:rsidRDefault="0058532A" w:rsidP="001D2D9C">
      <w:pPr>
        <w:jc w:val="left"/>
        <w:rPr>
          <w:rFonts w:eastAsia="Arial"/>
          <w:sz w:val="22"/>
          <w:szCs w:val="22"/>
        </w:rPr>
      </w:pPr>
    </w:p>
    <w:p w14:paraId="018551B5" w14:textId="77777777" w:rsidR="00497207" w:rsidRPr="00582847" w:rsidRDefault="00497207" w:rsidP="001D2D9C">
      <w:pPr>
        <w:pStyle w:val="Heading2"/>
        <w:numPr>
          <w:ilvl w:val="0"/>
          <w:numId w:val="1"/>
        </w:numPr>
        <w:tabs>
          <w:tab w:val="num" w:pos="360"/>
        </w:tabs>
        <w:ind w:left="0" w:firstLine="0"/>
        <w:jc w:val="left"/>
        <w:rPr>
          <w:rFonts w:ascii="Arial" w:hAnsi="Arial" w:cs="Arial"/>
          <w:b/>
          <w:color w:val="10263B"/>
          <w:sz w:val="24"/>
          <w:szCs w:val="24"/>
        </w:rPr>
      </w:pPr>
      <w:r w:rsidRPr="00582847">
        <w:rPr>
          <w:rFonts w:ascii="Arial" w:hAnsi="Arial" w:cs="Arial"/>
          <w:b/>
          <w:color w:val="10263B"/>
          <w:sz w:val="24"/>
          <w:szCs w:val="24"/>
        </w:rPr>
        <w:t xml:space="preserve">Considering when to apply </w:t>
      </w:r>
    </w:p>
    <w:p w14:paraId="729C36C9" w14:textId="77777777" w:rsidR="00497207" w:rsidRDefault="00497207" w:rsidP="001D2D9C">
      <w:pPr>
        <w:jc w:val="left"/>
        <w:rPr>
          <w:sz w:val="20"/>
          <w:szCs w:val="20"/>
        </w:rPr>
      </w:pPr>
    </w:p>
    <w:p w14:paraId="6DEEB966" w14:textId="1F69DC44" w:rsidR="00497207" w:rsidRPr="00E7262D" w:rsidRDefault="00497207" w:rsidP="001D2D9C">
      <w:pPr>
        <w:jc w:val="left"/>
        <w:rPr>
          <w:b/>
          <w:bCs/>
          <w:i/>
          <w:iCs/>
          <w:sz w:val="22"/>
          <w:szCs w:val="22"/>
        </w:rPr>
      </w:pPr>
      <w:r w:rsidRPr="3E629C51">
        <w:rPr>
          <w:sz w:val="22"/>
          <w:szCs w:val="22"/>
        </w:rPr>
        <w:t xml:space="preserve">It is expected that individuals will be recruited to the University at the right level of role for their experience and skills. Following appointment and when staff can demonstrate that they meet the </w:t>
      </w:r>
      <w:r w:rsidR="009A3C68">
        <w:rPr>
          <w:sz w:val="22"/>
          <w:szCs w:val="22"/>
        </w:rPr>
        <w:t>Academic P</w:t>
      </w:r>
      <w:r w:rsidRPr="3E629C51">
        <w:rPr>
          <w:sz w:val="22"/>
          <w:szCs w:val="22"/>
        </w:rPr>
        <w:t xml:space="preserve">romotion </w:t>
      </w:r>
      <w:r w:rsidR="009A3C68">
        <w:rPr>
          <w:sz w:val="22"/>
          <w:szCs w:val="22"/>
        </w:rPr>
        <w:t>C</w:t>
      </w:r>
      <w:r w:rsidRPr="3E629C51">
        <w:rPr>
          <w:sz w:val="22"/>
          <w:szCs w:val="22"/>
        </w:rPr>
        <w:t>riteria then they may wish to consider applying for promotion. There is no set timeframe when this could take place and no prohibition on consecutive annual applications.</w:t>
      </w:r>
      <w:r w:rsidRPr="3E629C51">
        <w:rPr>
          <w:b/>
          <w:bCs/>
          <w:i/>
          <w:iCs/>
          <w:sz w:val="22"/>
          <w:szCs w:val="22"/>
        </w:rPr>
        <w:t xml:space="preserve"> </w:t>
      </w:r>
      <w:r w:rsidRPr="3E629C51">
        <w:rPr>
          <w:sz w:val="22"/>
          <w:szCs w:val="22"/>
        </w:rPr>
        <w:t xml:space="preserve">Similarly, there is no time limit for individuals who have previously been promoted to then apply for a further promotion, this should be when that individual can evidence the criteria at the next level. </w:t>
      </w:r>
    </w:p>
    <w:p w14:paraId="7A4B7783" w14:textId="77777777" w:rsidR="00497207" w:rsidRPr="00E7262D" w:rsidRDefault="00497207" w:rsidP="001D2D9C">
      <w:pPr>
        <w:pStyle w:val="ListParagraph"/>
        <w:ind w:left="0"/>
        <w:jc w:val="left"/>
        <w:rPr>
          <w:sz w:val="22"/>
          <w:szCs w:val="22"/>
        </w:rPr>
      </w:pPr>
    </w:p>
    <w:p w14:paraId="3C34C75D" w14:textId="77777777" w:rsidR="00497207" w:rsidRPr="00E7262D" w:rsidRDefault="00497207" w:rsidP="001D2D9C">
      <w:pPr>
        <w:jc w:val="left"/>
        <w:rPr>
          <w:sz w:val="22"/>
          <w:szCs w:val="22"/>
        </w:rPr>
      </w:pPr>
      <w:r w:rsidRPr="00E7262D">
        <w:rPr>
          <w:sz w:val="22"/>
          <w:szCs w:val="22"/>
        </w:rPr>
        <w:t>Staff subject to a formal disciplinary, or who are currently being monitored for underperformance are not normally eligible for consideration for promotion during the period of warning, sanction, or performance monitoring.</w:t>
      </w:r>
    </w:p>
    <w:p w14:paraId="4FD10E7B" w14:textId="77777777" w:rsidR="00497207" w:rsidRPr="00E7262D" w:rsidRDefault="00497207" w:rsidP="001D2D9C">
      <w:pPr>
        <w:jc w:val="left"/>
        <w:rPr>
          <w:sz w:val="22"/>
          <w:szCs w:val="22"/>
        </w:rPr>
      </w:pPr>
    </w:p>
    <w:p w14:paraId="22255A67" w14:textId="77777777" w:rsidR="00497207" w:rsidRDefault="00497207" w:rsidP="001D2D9C">
      <w:pPr>
        <w:jc w:val="left"/>
        <w:rPr>
          <w:rStyle w:val="ui-provider"/>
          <w:sz w:val="22"/>
          <w:szCs w:val="22"/>
        </w:rPr>
      </w:pPr>
      <w:r w:rsidRPr="00E7262D">
        <w:rPr>
          <w:rStyle w:val="ui-provider"/>
          <w:sz w:val="22"/>
          <w:szCs w:val="22"/>
        </w:rPr>
        <w:t>Promotion from Clinical Lecturer/Clinical Assistant Professor to Clinical Associate Professor and Honorary Consultant are not considered through th</w:t>
      </w:r>
      <w:r>
        <w:rPr>
          <w:rStyle w:val="ui-provider"/>
          <w:sz w:val="22"/>
          <w:szCs w:val="22"/>
        </w:rPr>
        <w:t>is</w:t>
      </w:r>
      <w:r w:rsidRPr="00E7262D">
        <w:rPr>
          <w:rStyle w:val="ui-provider"/>
          <w:sz w:val="22"/>
          <w:szCs w:val="22"/>
        </w:rPr>
        <w:t xml:space="preserve"> procedure.</w:t>
      </w:r>
    </w:p>
    <w:p w14:paraId="0E09F378" w14:textId="77777777" w:rsidR="00497207" w:rsidRDefault="00497207" w:rsidP="001D2D9C">
      <w:pPr>
        <w:jc w:val="left"/>
        <w:rPr>
          <w:rStyle w:val="ui-provider"/>
          <w:sz w:val="22"/>
          <w:szCs w:val="22"/>
        </w:rPr>
      </w:pPr>
    </w:p>
    <w:p w14:paraId="2ECDF21A" w14:textId="77777777" w:rsidR="00497207" w:rsidRPr="00E52AA3" w:rsidRDefault="00497207" w:rsidP="001D2D9C">
      <w:pPr>
        <w:pStyle w:val="Heading3"/>
        <w:jc w:val="left"/>
        <w:rPr>
          <w:rFonts w:ascii="Arial" w:hAnsi="Arial" w:cs="Arial"/>
          <w:b/>
          <w:color w:val="10263B"/>
          <w:sz w:val="22"/>
          <w:szCs w:val="22"/>
        </w:rPr>
      </w:pPr>
      <w:r w:rsidRPr="00E52AA3">
        <w:rPr>
          <w:rFonts w:ascii="Arial" w:hAnsi="Arial" w:cs="Arial"/>
          <w:b/>
          <w:color w:val="10263B"/>
          <w:sz w:val="22"/>
          <w:szCs w:val="22"/>
        </w:rPr>
        <w:t xml:space="preserve">For level 4 applicants </w:t>
      </w:r>
    </w:p>
    <w:p w14:paraId="2DCD8911" w14:textId="779CE96B" w:rsidR="00497207" w:rsidRPr="00314747" w:rsidRDefault="00497207" w:rsidP="001D2D9C">
      <w:pPr>
        <w:jc w:val="left"/>
        <w:rPr>
          <w:sz w:val="22"/>
          <w:szCs w:val="22"/>
        </w:rPr>
      </w:pPr>
      <w:r w:rsidRPr="063EC08F">
        <w:rPr>
          <w:sz w:val="22"/>
          <w:szCs w:val="22"/>
        </w:rPr>
        <w:t xml:space="preserve">For research staff on </w:t>
      </w:r>
      <w:r w:rsidR="000F5E19">
        <w:rPr>
          <w:sz w:val="22"/>
          <w:szCs w:val="22"/>
        </w:rPr>
        <w:t>l</w:t>
      </w:r>
      <w:r w:rsidRPr="063EC08F">
        <w:rPr>
          <w:sz w:val="22"/>
          <w:szCs w:val="22"/>
        </w:rPr>
        <w:t xml:space="preserve">evel 4 Research Career Training Grade, progression to R&amp;T </w:t>
      </w:r>
      <w:r w:rsidR="000F5E19">
        <w:rPr>
          <w:sz w:val="22"/>
          <w:szCs w:val="22"/>
        </w:rPr>
        <w:t>l</w:t>
      </w:r>
      <w:r w:rsidRPr="063EC08F">
        <w:rPr>
          <w:sz w:val="22"/>
          <w:szCs w:val="22"/>
        </w:rPr>
        <w:t>evel 4 is dependent on the award of a PhD and there is no requirement to use this promotion procedure for such advancement.</w:t>
      </w:r>
    </w:p>
    <w:p w14:paraId="41101ECD" w14:textId="77777777" w:rsidR="00497207" w:rsidRPr="00314747" w:rsidRDefault="00497207" w:rsidP="001D2D9C">
      <w:pPr>
        <w:jc w:val="left"/>
        <w:rPr>
          <w:sz w:val="22"/>
          <w:szCs w:val="22"/>
        </w:rPr>
      </w:pPr>
    </w:p>
    <w:p w14:paraId="227A7F35" w14:textId="0E4393AF" w:rsidR="00497207" w:rsidRDefault="00497207" w:rsidP="001D2D9C">
      <w:pPr>
        <w:jc w:val="left"/>
        <w:rPr>
          <w:sz w:val="22"/>
          <w:szCs w:val="22"/>
        </w:rPr>
      </w:pPr>
      <w:r w:rsidRPr="063EC08F">
        <w:rPr>
          <w:sz w:val="22"/>
          <w:szCs w:val="22"/>
        </w:rPr>
        <w:t xml:space="preserve">Where research staff on </w:t>
      </w:r>
      <w:r w:rsidR="000F5E19">
        <w:rPr>
          <w:sz w:val="22"/>
          <w:szCs w:val="22"/>
        </w:rPr>
        <w:t>l</w:t>
      </w:r>
      <w:r w:rsidRPr="063EC08F">
        <w:rPr>
          <w:sz w:val="22"/>
          <w:szCs w:val="22"/>
        </w:rPr>
        <w:t xml:space="preserve">evel 4 are awarded a personal Fellowship and the funds have been received, the member of staff concerned should complete the </w:t>
      </w:r>
      <w:hyperlink r:id="rId13">
        <w:r w:rsidRPr="063EC08F">
          <w:rPr>
            <w:rStyle w:val="Hyperlink"/>
            <w:sz w:val="22"/>
            <w:szCs w:val="22"/>
          </w:rPr>
          <w:t>Fellowship Pro Forma</w:t>
        </w:r>
      </w:hyperlink>
      <w:r w:rsidRPr="063EC08F">
        <w:rPr>
          <w:sz w:val="22"/>
          <w:szCs w:val="22"/>
        </w:rPr>
        <w:t xml:space="preserve"> for Promotion to R&amp;T </w:t>
      </w:r>
      <w:r w:rsidR="009C7C50">
        <w:rPr>
          <w:sz w:val="22"/>
          <w:szCs w:val="22"/>
        </w:rPr>
        <w:t>l</w:t>
      </w:r>
      <w:r w:rsidRPr="063EC08F">
        <w:rPr>
          <w:sz w:val="22"/>
          <w:szCs w:val="22"/>
        </w:rPr>
        <w:t xml:space="preserve">evel 5. This pro-forma should then be sent to the faculty Human Resources Business Partner who will gain approval from the Pro-Vice Chancellor for Research and Knowledge Exchange. Only in these circumstances can an individual be promoted to </w:t>
      </w:r>
      <w:r w:rsidR="009C7C50">
        <w:rPr>
          <w:sz w:val="22"/>
          <w:szCs w:val="22"/>
        </w:rPr>
        <w:t>l</w:t>
      </w:r>
      <w:r w:rsidRPr="063EC08F">
        <w:rPr>
          <w:sz w:val="22"/>
          <w:szCs w:val="22"/>
        </w:rPr>
        <w:t>evel 5 without having to use the promotion procedure.</w:t>
      </w:r>
    </w:p>
    <w:p w14:paraId="72ABA3DB" w14:textId="32402F96" w:rsidR="00656FBB" w:rsidRDefault="00656FBB" w:rsidP="001D2D9C">
      <w:pPr>
        <w:jc w:val="left"/>
        <w:rPr>
          <w:sz w:val="22"/>
          <w:szCs w:val="22"/>
        </w:rPr>
      </w:pPr>
    </w:p>
    <w:p w14:paraId="636E65C2" w14:textId="4292D5F9" w:rsidR="00332371" w:rsidRDefault="00332371" w:rsidP="001D2D9C">
      <w:pPr>
        <w:jc w:val="left"/>
        <w:rPr>
          <w:sz w:val="22"/>
          <w:szCs w:val="22"/>
        </w:rPr>
      </w:pPr>
    </w:p>
    <w:p w14:paraId="1627909E" w14:textId="77777777" w:rsidR="00332371" w:rsidRPr="00314747" w:rsidRDefault="00332371" w:rsidP="001D2D9C">
      <w:pPr>
        <w:jc w:val="left"/>
        <w:rPr>
          <w:sz w:val="22"/>
          <w:szCs w:val="22"/>
        </w:rPr>
      </w:pPr>
    </w:p>
    <w:p w14:paraId="565E3B63" w14:textId="77777777" w:rsidR="00656FBB" w:rsidRPr="00582847" w:rsidRDefault="00656FBB" w:rsidP="001D2D9C">
      <w:pPr>
        <w:pStyle w:val="Heading2"/>
        <w:numPr>
          <w:ilvl w:val="0"/>
          <w:numId w:val="1"/>
        </w:numPr>
        <w:tabs>
          <w:tab w:val="num" w:pos="360"/>
        </w:tabs>
        <w:ind w:left="0" w:firstLine="0"/>
        <w:jc w:val="left"/>
        <w:rPr>
          <w:rFonts w:ascii="Arial" w:hAnsi="Arial" w:cs="Arial"/>
          <w:b/>
          <w:color w:val="10263B"/>
          <w:sz w:val="24"/>
          <w:szCs w:val="24"/>
        </w:rPr>
      </w:pPr>
      <w:r w:rsidRPr="00582847">
        <w:rPr>
          <w:rFonts w:ascii="Arial" w:hAnsi="Arial" w:cs="Arial"/>
          <w:b/>
          <w:color w:val="10263B"/>
          <w:sz w:val="24"/>
          <w:szCs w:val="24"/>
        </w:rPr>
        <w:lastRenderedPageBreak/>
        <w:t>Mitigating circumstances and requested adjustments</w:t>
      </w:r>
    </w:p>
    <w:p w14:paraId="78191728" w14:textId="77777777" w:rsidR="00656FBB" w:rsidRPr="00E7262D" w:rsidRDefault="00656FBB" w:rsidP="001D2D9C">
      <w:pPr>
        <w:jc w:val="left"/>
        <w:rPr>
          <w:sz w:val="22"/>
          <w:szCs w:val="22"/>
        </w:rPr>
      </w:pPr>
    </w:p>
    <w:p w14:paraId="759A63B2" w14:textId="6E343151" w:rsidR="00656FBB" w:rsidRPr="00E7262D" w:rsidRDefault="00656FBB" w:rsidP="001D2D9C">
      <w:pPr>
        <w:jc w:val="left"/>
        <w:rPr>
          <w:sz w:val="22"/>
          <w:szCs w:val="22"/>
        </w:rPr>
      </w:pPr>
      <w:r w:rsidRPr="00E7262D">
        <w:rPr>
          <w:sz w:val="22"/>
          <w:szCs w:val="22"/>
        </w:rPr>
        <w:t>The University recognise</w:t>
      </w:r>
      <w:r>
        <w:rPr>
          <w:sz w:val="22"/>
          <w:szCs w:val="22"/>
        </w:rPr>
        <w:t>s</w:t>
      </w:r>
      <w:r w:rsidRPr="00E7262D">
        <w:rPr>
          <w:sz w:val="22"/>
          <w:szCs w:val="22"/>
        </w:rPr>
        <w:t xml:space="preserve"> that </w:t>
      </w:r>
      <w:r w:rsidR="68AE8929" w:rsidRPr="1851F529">
        <w:rPr>
          <w:sz w:val="22"/>
          <w:szCs w:val="22"/>
        </w:rPr>
        <w:t xml:space="preserve">an </w:t>
      </w:r>
      <w:r w:rsidRPr="00E7262D">
        <w:rPr>
          <w:sz w:val="22"/>
          <w:szCs w:val="22"/>
        </w:rPr>
        <w:t xml:space="preserve">individual’s personal characteristics and life/family circumstances may impact on their work, and </w:t>
      </w:r>
      <w:r w:rsidRPr="5C7952A9">
        <w:rPr>
          <w:sz w:val="22"/>
          <w:szCs w:val="22"/>
        </w:rPr>
        <w:t>endeavours</w:t>
      </w:r>
      <w:r w:rsidRPr="00E7262D">
        <w:rPr>
          <w:sz w:val="22"/>
          <w:szCs w:val="22"/>
        </w:rPr>
        <w:t xml:space="preserve"> to consider the impact of personal circumstances in a fair manner at all stages of the promotion process. </w:t>
      </w:r>
    </w:p>
    <w:p w14:paraId="3EEFA1C5" w14:textId="77777777" w:rsidR="00656FBB" w:rsidRPr="00E7262D" w:rsidRDefault="00656FBB" w:rsidP="001D2D9C">
      <w:pPr>
        <w:jc w:val="left"/>
        <w:rPr>
          <w:sz w:val="22"/>
          <w:szCs w:val="22"/>
        </w:rPr>
      </w:pPr>
    </w:p>
    <w:p w14:paraId="4B1623BF" w14:textId="38A0030A" w:rsidR="00656FBB" w:rsidRPr="00E7262D" w:rsidRDefault="00656FBB" w:rsidP="1851F529">
      <w:pPr>
        <w:jc w:val="left"/>
        <w:rPr>
          <w:rFonts w:eastAsia="Arial"/>
          <w:color w:val="000000" w:themeColor="text1"/>
          <w:sz w:val="22"/>
          <w:szCs w:val="22"/>
        </w:rPr>
      </w:pPr>
      <w:r w:rsidRPr="063EC08F">
        <w:rPr>
          <w:sz w:val="22"/>
          <w:szCs w:val="22"/>
        </w:rPr>
        <w:t xml:space="preserve">It is important to us that all staff at the University have the opportunity to reach their full potential. If there are mitigating circumstances that may have impacted on an applicant meeting the </w:t>
      </w:r>
      <w:r>
        <w:rPr>
          <w:sz w:val="22"/>
          <w:szCs w:val="22"/>
        </w:rPr>
        <w:t>Academic P</w:t>
      </w:r>
      <w:r w:rsidRPr="063EC08F">
        <w:rPr>
          <w:sz w:val="22"/>
          <w:szCs w:val="22"/>
        </w:rPr>
        <w:t xml:space="preserve">romotion </w:t>
      </w:r>
      <w:r>
        <w:rPr>
          <w:sz w:val="22"/>
          <w:szCs w:val="22"/>
        </w:rPr>
        <w:t>C</w:t>
      </w:r>
      <w:r w:rsidRPr="063EC08F">
        <w:rPr>
          <w:sz w:val="22"/>
          <w:szCs w:val="22"/>
        </w:rPr>
        <w:t xml:space="preserve">riteria, they should </w:t>
      </w:r>
      <w:r w:rsidR="239EDD08" w:rsidRPr="1851F529">
        <w:rPr>
          <w:sz w:val="22"/>
          <w:szCs w:val="22"/>
        </w:rPr>
        <w:t>discuss and agree mitigation with their line manager/Head of School/Department</w:t>
      </w:r>
      <w:r w:rsidR="02F14FA1" w:rsidRPr="1851F529">
        <w:rPr>
          <w:sz w:val="22"/>
          <w:szCs w:val="22"/>
        </w:rPr>
        <w:t xml:space="preserve"> and</w:t>
      </w:r>
      <w:r w:rsidR="239EDD08" w:rsidRPr="1851F529">
        <w:rPr>
          <w:sz w:val="22"/>
          <w:szCs w:val="22"/>
        </w:rPr>
        <w:t xml:space="preserve"> </w:t>
      </w:r>
      <w:r w:rsidRPr="063EC08F">
        <w:rPr>
          <w:sz w:val="22"/>
          <w:szCs w:val="22"/>
        </w:rPr>
        <w:t>complete the mitigation table in the application form, in line with the applicant guidance document</w:t>
      </w:r>
      <w:r w:rsidR="58EDA812" w:rsidRPr="1851F529">
        <w:rPr>
          <w:sz w:val="22"/>
          <w:szCs w:val="22"/>
        </w:rPr>
        <w:t>.</w:t>
      </w:r>
      <w:r w:rsidR="55E37ADE" w:rsidRPr="1851F529">
        <w:rPr>
          <w:sz w:val="22"/>
          <w:szCs w:val="22"/>
        </w:rPr>
        <w:t xml:space="preserve"> </w:t>
      </w:r>
      <w:r w:rsidR="4F7CE47A" w:rsidRPr="00591A39">
        <w:rPr>
          <w:rStyle w:val="normaltextrun"/>
          <w:rFonts w:eastAsia="Arial"/>
          <w:b/>
          <w:bCs/>
          <w:color w:val="000000" w:themeColor="text1"/>
          <w:sz w:val="22"/>
          <w:szCs w:val="22"/>
        </w:rPr>
        <w:t>This process must be followed in order for mitigation to be considered by the relevant Promotion Committee.</w:t>
      </w:r>
      <w:r w:rsidR="4F7CE47A" w:rsidRPr="1851F529">
        <w:rPr>
          <w:rStyle w:val="normaltextrun"/>
          <w:rFonts w:eastAsia="Arial"/>
          <w:color w:val="000000" w:themeColor="text1"/>
          <w:sz w:val="22"/>
          <w:szCs w:val="22"/>
        </w:rPr>
        <w:t xml:space="preserve"> </w:t>
      </w:r>
    </w:p>
    <w:p w14:paraId="34E8671D" w14:textId="77777777" w:rsidR="00656FBB" w:rsidRPr="00E7262D" w:rsidRDefault="00656FBB" w:rsidP="001D2D9C">
      <w:pPr>
        <w:jc w:val="left"/>
        <w:rPr>
          <w:rFonts w:eastAsia="Arial"/>
          <w:sz w:val="22"/>
          <w:szCs w:val="22"/>
        </w:rPr>
      </w:pPr>
    </w:p>
    <w:p w14:paraId="52C88326" w14:textId="77777777" w:rsidR="00656FBB" w:rsidRPr="00E7262D" w:rsidRDefault="00656FBB" w:rsidP="001D2D9C">
      <w:pPr>
        <w:jc w:val="left"/>
        <w:rPr>
          <w:rFonts w:eastAsia="Arial"/>
          <w:sz w:val="22"/>
          <w:szCs w:val="22"/>
        </w:rPr>
      </w:pPr>
      <w:r w:rsidRPr="063EC08F">
        <w:rPr>
          <w:rFonts w:eastAsia="Arial"/>
          <w:sz w:val="22"/>
          <w:szCs w:val="22"/>
        </w:rPr>
        <w:t xml:space="preserve">Requested adjustments should apply to quantity rather than quality of outputs and applicants should have evidence against all criteria at previous levels in their career (unless there is a previously agreed reasonable adjustment for a disability in place) so that an upward trajectory can be demonstrated. </w:t>
      </w:r>
    </w:p>
    <w:p w14:paraId="715C2ACF" w14:textId="77777777" w:rsidR="00656FBB" w:rsidRPr="00E7262D" w:rsidRDefault="00656FBB" w:rsidP="001D2D9C">
      <w:pPr>
        <w:jc w:val="left"/>
        <w:rPr>
          <w:rFonts w:eastAsia="Arial"/>
          <w:sz w:val="22"/>
          <w:szCs w:val="22"/>
        </w:rPr>
      </w:pPr>
    </w:p>
    <w:p w14:paraId="77E33783" w14:textId="6017D1F0" w:rsidR="00656FBB" w:rsidRDefault="00656FBB" w:rsidP="001D2D9C">
      <w:pPr>
        <w:jc w:val="left"/>
        <w:rPr>
          <w:rFonts w:eastAsia="Arial"/>
          <w:sz w:val="22"/>
          <w:szCs w:val="22"/>
        </w:rPr>
      </w:pPr>
      <w:r w:rsidRPr="2D5C52E1">
        <w:rPr>
          <w:rFonts w:eastAsia="Arial"/>
          <w:sz w:val="22"/>
          <w:szCs w:val="22"/>
        </w:rPr>
        <w:t xml:space="preserve">Mitigation will usually be limited to one criterion of the Academic Promotion Criteria </w:t>
      </w:r>
      <w:r w:rsidR="00EB7307">
        <w:rPr>
          <w:rFonts w:eastAsia="Arial"/>
          <w:sz w:val="22"/>
          <w:szCs w:val="22"/>
        </w:rPr>
        <w:t>– Specific Expectations</w:t>
      </w:r>
      <w:r w:rsidR="109377DB" w:rsidRPr="1851F529">
        <w:rPr>
          <w:rFonts w:eastAsia="Arial"/>
          <w:sz w:val="22"/>
          <w:szCs w:val="22"/>
        </w:rPr>
        <w:t>.</w:t>
      </w:r>
      <w:r w:rsidRPr="2D5C52E1">
        <w:rPr>
          <w:rFonts w:eastAsia="Arial"/>
          <w:sz w:val="22"/>
          <w:szCs w:val="22"/>
        </w:rPr>
        <w:t xml:space="preserve"> If mitigation is being requested beyond more than one criterion or additional support is required to determine appropriate mitigation, then the relevant HR Business Partner should be contacted </w:t>
      </w:r>
      <w:r>
        <w:rPr>
          <w:rFonts w:eastAsia="Arial"/>
          <w:sz w:val="22"/>
          <w:szCs w:val="22"/>
        </w:rPr>
        <w:t xml:space="preserve">by the applicant (copying in the line manager/Head of School/Department) </w:t>
      </w:r>
      <w:r w:rsidRPr="2D5C52E1">
        <w:rPr>
          <w:rFonts w:eastAsia="Arial"/>
          <w:sz w:val="22"/>
          <w:szCs w:val="22"/>
        </w:rPr>
        <w:t xml:space="preserve">for assistance before submission of the application.  </w:t>
      </w:r>
    </w:p>
    <w:p w14:paraId="5DE8B410" w14:textId="77777777" w:rsidR="00490868" w:rsidRDefault="00490868" w:rsidP="001D2D9C">
      <w:pPr>
        <w:jc w:val="left"/>
        <w:rPr>
          <w:rFonts w:eastAsia="Arial"/>
          <w:sz w:val="22"/>
          <w:szCs w:val="22"/>
        </w:rPr>
      </w:pPr>
    </w:p>
    <w:p w14:paraId="676EF584" w14:textId="77777777" w:rsidR="00253630" w:rsidRPr="00582847" w:rsidRDefault="00490868" w:rsidP="001D2D9C">
      <w:pPr>
        <w:pStyle w:val="Heading2"/>
        <w:numPr>
          <w:ilvl w:val="0"/>
          <w:numId w:val="1"/>
        </w:numPr>
        <w:tabs>
          <w:tab w:val="num" w:pos="360"/>
        </w:tabs>
        <w:ind w:left="0" w:firstLine="0"/>
        <w:jc w:val="left"/>
        <w:rPr>
          <w:rFonts w:ascii="Arial" w:hAnsi="Arial" w:cs="Arial"/>
          <w:b/>
          <w:color w:val="10263B"/>
          <w:sz w:val="24"/>
          <w:szCs w:val="24"/>
        </w:rPr>
      </w:pPr>
      <w:r w:rsidRPr="00AB15E2">
        <w:rPr>
          <w:rFonts w:ascii="Verdana" w:hAnsi="Verdana"/>
          <w:sz w:val="20"/>
          <w:szCs w:val="20"/>
        </w:rPr>
        <w:t xml:space="preserve"> </w:t>
      </w:r>
      <w:r w:rsidR="00253630" w:rsidRPr="00582847">
        <w:rPr>
          <w:rFonts w:ascii="Arial" w:hAnsi="Arial" w:cs="Arial"/>
          <w:b/>
          <w:color w:val="10263B"/>
          <w:sz w:val="24"/>
          <w:szCs w:val="24"/>
        </w:rPr>
        <w:t>Roles and career pathways</w:t>
      </w:r>
    </w:p>
    <w:p w14:paraId="26CDB7D9" w14:textId="77777777" w:rsidR="00253630" w:rsidRPr="000E0666" w:rsidRDefault="00253630" w:rsidP="001D2D9C">
      <w:pPr>
        <w:pStyle w:val="ListParagraph"/>
        <w:ind w:left="360"/>
        <w:jc w:val="left"/>
        <w:rPr>
          <w:b/>
          <w:sz w:val="20"/>
          <w:szCs w:val="20"/>
        </w:rPr>
      </w:pPr>
    </w:p>
    <w:p w14:paraId="3D12D314" w14:textId="10F86B8E" w:rsidR="00253630" w:rsidRPr="00E7262D" w:rsidRDefault="00253630" w:rsidP="001D2D9C">
      <w:pPr>
        <w:jc w:val="left"/>
        <w:rPr>
          <w:sz w:val="22"/>
          <w:szCs w:val="22"/>
        </w:rPr>
      </w:pPr>
      <w:r w:rsidRPr="00E7262D">
        <w:rPr>
          <w:sz w:val="22"/>
          <w:szCs w:val="22"/>
        </w:rPr>
        <w:t>Th</w:t>
      </w:r>
      <w:r w:rsidR="009A6B02">
        <w:rPr>
          <w:sz w:val="22"/>
          <w:szCs w:val="22"/>
        </w:rPr>
        <w:t>e academic</w:t>
      </w:r>
      <w:r w:rsidRPr="00E7262D">
        <w:rPr>
          <w:sz w:val="22"/>
          <w:szCs w:val="22"/>
        </w:rPr>
        <w:t xml:space="preserve"> promotion procedure aims to ensure that the University offers promotion opportunities to staff that take account of the individual's career profile and pathway. </w:t>
      </w:r>
    </w:p>
    <w:p w14:paraId="1638788A" w14:textId="77777777" w:rsidR="00253630" w:rsidRPr="00E7262D" w:rsidRDefault="00253630" w:rsidP="001D2D9C">
      <w:pPr>
        <w:jc w:val="left"/>
        <w:rPr>
          <w:sz w:val="22"/>
          <w:szCs w:val="22"/>
        </w:rPr>
      </w:pPr>
    </w:p>
    <w:p w14:paraId="0F750A8C" w14:textId="77777777" w:rsidR="00253630" w:rsidRDefault="00253630" w:rsidP="001D2D9C">
      <w:pPr>
        <w:shd w:val="clear" w:color="auto" w:fill="FFFFFF" w:themeFill="background1"/>
        <w:spacing w:line="256" w:lineRule="auto"/>
        <w:jc w:val="left"/>
        <w:rPr>
          <w:sz w:val="22"/>
          <w:szCs w:val="22"/>
        </w:rPr>
      </w:pPr>
      <w:r w:rsidRPr="7A17D38C">
        <w:rPr>
          <w:sz w:val="22"/>
          <w:szCs w:val="22"/>
        </w:rPr>
        <w:t>Academic careers and promotion are considered under one of three career pathways</w:t>
      </w:r>
      <w:r w:rsidRPr="7A17D38C">
        <w:rPr>
          <w:i/>
          <w:iCs/>
          <w:sz w:val="22"/>
          <w:szCs w:val="22"/>
        </w:rPr>
        <w:t xml:space="preserve">. </w:t>
      </w:r>
      <w:r w:rsidRPr="7A17D38C">
        <w:rPr>
          <w:color w:val="000000" w:themeColor="text1"/>
          <w:sz w:val="22"/>
          <w:szCs w:val="22"/>
        </w:rPr>
        <w:t>Each of the areas of contribution may be represented to a different extent dependent on the focus of an individual’s role, as well as their career pathway.</w:t>
      </w:r>
      <w:r w:rsidRPr="7A17D38C">
        <w:rPr>
          <w:sz w:val="22"/>
          <w:szCs w:val="22"/>
        </w:rPr>
        <w:t xml:space="preserve"> Pathways will normally be reflected in a formal agreement of role responsibilities and should be recognised through a </w:t>
      </w:r>
      <w:r>
        <w:rPr>
          <w:sz w:val="22"/>
          <w:szCs w:val="22"/>
        </w:rPr>
        <w:t>contract of employment</w:t>
      </w:r>
      <w:r w:rsidRPr="7A17D38C">
        <w:rPr>
          <w:sz w:val="22"/>
          <w:szCs w:val="22"/>
        </w:rPr>
        <w:t xml:space="preserve">. </w:t>
      </w:r>
    </w:p>
    <w:p w14:paraId="18224A1E" w14:textId="77777777" w:rsidR="00253630" w:rsidRDefault="00253630" w:rsidP="001D2D9C">
      <w:pPr>
        <w:shd w:val="clear" w:color="auto" w:fill="FFFFFF" w:themeFill="background1"/>
        <w:spacing w:line="256" w:lineRule="auto"/>
        <w:jc w:val="left"/>
        <w:rPr>
          <w:sz w:val="22"/>
          <w:szCs w:val="22"/>
        </w:rPr>
      </w:pPr>
    </w:p>
    <w:p w14:paraId="76822FA5" w14:textId="5DBBFD4B" w:rsidR="00253630" w:rsidRDefault="00253630" w:rsidP="001D2D9C">
      <w:pPr>
        <w:jc w:val="left"/>
        <w:rPr>
          <w:sz w:val="22"/>
          <w:szCs w:val="22"/>
        </w:rPr>
      </w:pPr>
      <w:r>
        <w:rPr>
          <w:sz w:val="22"/>
          <w:szCs w:val="22"/>
        </w:rPr>
        <w:t xml:space="preserve">An application for promotion is made only in relation to an applicant’s existing career pathway. If an applicant requires a change of career pathway this should be processed prior to a promotion application being submitted. </w:t>
      </w:r>
      <w:r w:rsidR="00B70193">
        <w:rPr>
          <w:sz w:val="22"/>
          <w:szCs w:val="22"/>
        </w:rPr>
        <w:t>For more information about changing career pathways see</w:t>
      </w:r>
      <w:r w:rsidR="006E1B05">
        <w:rPr>
          <w:sz w:val="22"/>
          <w:szCs w:val="22"/>
        </w:rPr>
        <w:t xml:space="preserve"> the</w:t>
      </w:r>
      <w:r>
        <w:rPr>
          <w:sz w:val="22"/>
          <w:szCs w:val="22"/>
        </w:rPr>
        <w:t xml:space="preserve"> process </w:t>
      </w:r>
      <w:r w:rsidR="00C1479F">
        <w:rPr>
          <w:sz w:val="22"/>
          <w:szCs w:val="22"/>
        </w:rPr>
        <w:t>on the</w:t>
      </w:r>
      <w:r>
        <w:rPr>
          <w:sz w:val="22"/>
          <w:szCs w:val="22"/>
        </w:rPr>
        <w:t xml:space="preserve"> </w:t>
      </w:r>
      <w:hyperlink r:id="rId14" w:history="1">
        <w:r w:rsidR="00C1479F">
          <w:rPr>
            <w:rStyle w:val="Hyperlink"/>
            <w:sz w:val="22"/>
            <w:szCs w:val="22"/>
          </w:rPr>
          <w:t>R&amp;T Career Change Pathway webpage.</w:t>
        </w:r>
      </w:hyperlink>
    </w:p>
    <w:p w14:paraId="7B6AC978" w14:textId="77777777" w:rsidR="00253630" w:rsidRDefault="00253630" w:rsidP="001D2D9C">
      <w:pPr>
        <w:jc w:val="left"/>
        <w:rPr>
          <w:sz w:val="22"/>
          <w:szCs w:val="22"/>
        </w:rPr>
      </w:pPr>
    </w:p>
    <w:p w14:paraId="4ABFFC9A" w14:textId="77777777" w:rsidR="00253630" w:rsidRDefault="00253630" w:rsidP="001D2D9C">
      <w:pPr>
        <w:shd w:val="clear" w:color="auto" w:fill="FFFFFF"/>
        <w:spacing w:after="120" w:line="256" w:lineRule="auto"/>
        <w:contextualSpacing/>
        <w:jc w:val="left"/>
        <w:rPr>
          <w:sz w:val="22"/>
          <w:szCs w:val="22"/>
        </w:rPr>
      </w:pPr>
      <w:r w:rsidRPr="00E7262D">
        <w:rPr>
          <w:sz w:val="22"/>
          <w:szCs w:val="22"/>
        </w:rPr>
        <w:t>The three pathways</w:t>
      </w:r>
      <w:r>
        <w:rPr>
          <w:sz w:val="22"/>
          <w:szCs w:val="22"/>
        </w:rPr>
        <w:t>, and job titles</w:t>
      </w:r>
      <w:r w:rsidRPr="00E7262D">
        <w:rPr>
          <w:sz w:val="22"/>
          <w:szCs w:val="22"/>
        </w:rPr>
        <w:t xml:space="preserve"> for the </w:t>
      </w:r>
      <w:r>
        <w:rPr>
          <w:sz w:val="22"/>
          <w:szCs w:val="22"/>
        </w:rPr>
        <w:t>R</w:t>
      </w:r>
      <w:r w:rsidRPr="00E7262D">
        <w:rPr>
          <w:sz w:val="22"/>
          <w:szCs w:val="22"/>
        </w:rPr>
        <w:t xml:space="preserve">esearch and </w:t>
      </w:r>
      <w:r>
        <w:rPr>
          <w:sz w:val="22"/>
          <w:szCs w:val="22"/>
        </w:rPr>
        <w:t>T</w:t>
      </w:r>
      <w:r w:rsidRPr="00E7262D">
        <w:rPr>
          <w:sz w:val="22"/>
          <w:szCs w:val="22"/>
        </w:rPr>
        <w:t>eaching job family are:</w:t>
      </w:r>
    </w:p>
    <w:p w14:paraId="424A6B19" w14:textId="77777777" w:rsidR="00253630" w:rsidRDefault="00253630" w:rsidP="001D2D9C">
      <w:pPr>
        <w:shd w:val="clear" w:color="auto" w:fill="FFFFFF"/>
        <w:spacing w:after="120" w:line="256" w:lineRule="auto"/>
        <w:contextualSpacing/>
        <w:jc w:val="left"/>
        <w:rPr>
          <w:sz w:val="22"/>
          <w:szCs w:val="22"/>
        </w:rPr>
      </w:pPr>
    </w:p>
    <w:tbl>
      <w:tblPr>
        <w:tblStyle w:val="TableGrid"/>
        <w:tblW w:w="0" w:type="auto"/>
        <w:tblLook w:val="04A0" w:firstRow="1" w:lastRow="0" w:firstColumn="1" w:lastColumn="0" w:noHBand="0" w:noVBand="1"/>
      </w:tblPr>
      <w:tblGrid>
        <w:gridCol w:w="1555"/>
        <w:gridCol w:w="2267"/>
        <w:gridCol w:w="2975"/>
        <w:gridCol w:w="2831"/>
      </w:tblGrid>
      <w:tr w:rsidR="00253630" w14:paraId="4F11166C" w14:textId="77777777" w:rsidTr="00FE3F96">
        <w:tc>
          <w:tcPr>
            <w:tcW w:w="1555" w:type="dxa"/>
          </w:tcPr>
          <w:p w14:paraId="3BFB7F0A" w14:textId="77777777" w:rsidR="00253630" w:rsidRPr="001C5A0D" w:rsidRDefault="00253630" w:rsidP="001D2D9C">
            <w:pPr>
              <w:spacing w:after="120" w:line="256" w:lineRule="auto"/>
              <w:contextualSpacing/>
              <w:jc w:val="left"/>
              <w:rPr>
                <w:b/>
                <w:bCs/>
                <w:sz w:val="22"/>
                <w:szCs w:val="22"/>
              </w:rPr>
            </w:pPr>
            <w:r w:rsidRPr="001C5A0D">
              <w:rPr>
                <w:b/>
                <w:bCs/>
                <w:sz w:val="22"/>
                <w:szCs w:val="22"/>
              </w:rPr>
              <w:t>Level</w:t>
            </w:r>
          </w:p>
        </w:tc>
        <w:tc>
          <w:tcPr>
            <w:tcW w:w="2268" w:type="dxa"/>
          </w:tcPr>
          <w:p w14:paraId="3A457E1F" w14:textId="77777777" w:rsidR="00253630" w:rsidRPr="001C5A0D" w:rsidRDefault="00253630" w:rsidP="001D2D9C">
            <w:pPr>
              <w:spacing w:after="120" w:line="256" w:lineRule="auto"/>
              <w:contextualSpacing/>
              <w:jc w:val="left"/>
              <w:rPr>
                <w:b/>
                <w:bCs/>
                <w:sz w:val="22"/>
                <w:szCs w:val="22"/>
              </w:rPr>
            </w:pPr>
            <w:r w:rsidRPr="001C5A0D">
              <w:rPr>
                <w:b/>
                <w:bCs/>
                <w:sz w:val="22"/>
                <w:szCs w:val="22"/>
              </w:rPr>
              <w:t>Research and Teaching</w:t>
            </w:r>
          </w:p>
        </w:tc>
        <w:tc>
          <w:tcPr>
            <w:tcW w:w="2976" w:type="dxa"/>
          </w:tcPr>
          <w:p w14:paraId="17043CC9" w14:textId="77777777" w:rsidR="00253630" w:rsidRPr="001C5A0D" w:rsidRDefault="00253630" w:rsidP="001D2D9C">
            <w:pPr>
              <w:spacing w:after="120" w:line="256" w:lineRule="auto"/>
              <w:contextualSpacing/>
              <w:jc w:val="left"/>
              <w:rPr>
                <w:b/>
                <w:bCs/>
                <w:sz w:val="22"/>
                <w:szCs w:val="22"/>
              </w:rPr>
            </w:pPr>
            <w:r w:rsidRPr="001C5A0D">
              <w:rPr>
                <w:b/>
                <w:bCs/>
                <w:sz w:val="22"/>
                <w:szCs w:val="22"/>
              </w:rPr>
              <w:t>Research</w:t>
            </w:r>
          </w:p>
        </w:tc>
        <w:tc>
          <w:tcPr>
            <w:tcW w:w="2832" w:type="dxa"/>
          </w:tcPr>
          <w:p w14:paraId="189CB67A" w14:textId="77777777" w:rsidR="00253630" w:rsidRPr="001C5A0D" w:rsidRDefault="00253630" w:rsidP="001D2D9C">
            <w:pPr>
              <w:spacing w:after="120" w:line="256" w:lineRule="auto"/>
              <w:contextualSpacing/>
              <w:jc w:val="left"/>
              <w:rPr>
                <w:b/>
                <w:bCs/>
                <w:sz w:val="22"/>
                <w:szCs w:val="22"/>
              </w:rPr>
            </w:pPr>
            <w:r w:rsidRPr="001C5A0D">
              <w:rPr>
                <w:b/>
                <w:bCs/>
                <w:sz w:val="22"/>
                <w:szCs w:val="22"/>
              </w:rPr>
              <w:t>Teaching and Curriculum Leadership</w:t>
            </w:r>
          </w:p>
        </w:tc>
      </w:tr>
      <w:tr w:rsidR="00253630" w14:paraId="39D0E43A" w14:textId="77777777" w:rsidTr="00FE3F96">
        <w:tc>
          <w:tcPr>
            <w:tcW w:w="1555" w:type="dxa"/>
          </w:tcPr>
          <w:p w14:paraId="5D961E99" w14:textId="77777777" w:rsidR="00253630" w:rsidRDefault="00253630" w:rsidP="001D2D9C">
            <w:pPr>
              <w:spacing w:after="120" w:line="256" w:lineRule="auto"/>
              <w:contextualSpacing/>
              <w:jc w:val="left"/>
              <w:rPr>
                <w:sz w:val="22"/>
                <w:szCs w:val="22"/>
              </w:rPr>
            </w:pPr>
            <w:r>
              <w:rPr>
                <w:sz w:val="22"/>
                <w:szCs w:val="22"/>
              </w:rPr>
              <w:t>4a</w:t>
            </w:r>
          </w:p>
        </w:tc>
        <w:tc>
          <w:tcPr>
            <w:tcW w:w="2268" w:type="dxa"/>
          </w:tcPr>
          <w:p w14:paraId="6320CCF7" w14:textId="77777777" w:rsidR="00253630" w:rsidRDefault="00253630" w:rsidP="001D2D9C">
            <w:pPr>
              <w:spacing w:after="120" w:line="256" w:lineRule="auto"/>
              <w:contextualSpacing/>
              <w:jc w:val="left"/>
              <w:rPr>
                <w:sz w:val="22"/>
                <w:szCs w:val="22"/>
              </w:rPr>
            </w:pPr>
          </w:p>
        </w:tc>
        <w:tc>
          <w:tcPr>
            <w:tcW w:w="2976" w:type="dxa"/>
          </w:tcPr>
          <w:p w14:paraId="7C640375" w14:textId="77777777" w:rsidR="00253630" w:rsidRDefault="00253630" w:rsidP="001D2D9C">
            <w:pPr>
              <w:spacing w:after="120" w:line="256" w:lineRule="auto"/>
              <w:contextualSpacing/>
              <w:jc w:val="left"/>
              <w:rPr>
                <w:sz w:val="22"/>
                <w:szCs w:val="22"/>
              </w:rPr>
            </w:pPr>
            <w:r>
              <w:rPr>
                <w:sz w:val="22"/>
                <w:szCs w:val="22"/>
              </w:rPr>
              <w:t>Research Assistant</w:t>
            </w:r>
          </w:p>
        </w:tc>
        <w:tc>
          <w:tcPr>
            <w:tcW w:w="2832" w:type="dxa"/>
          </w:tcPr>
          <w:p w14:paraId="23E596A4" w14:textId="77777777" w:rsidR="00253630" w:rsidRDefault="00253630" w:rsidP="001D2D9C">
            <w:pPr>
              <w:spacing w:after="120" w:line="256" w:lineRule="auto"/>
              <w:contextualSpacing/>
              <w:jc w:val="left"/>
              <w:rPr>
                <w:sz w:val="22"/>
                <w:szCs w:val="22"/>
              </w:rPr>
            </w:pPr>
            <w:r>
              <w:rPr>
                <w:sz w:val="22"/>
                <w:szCs w:val="22"/>
              </w:rPr>
              <w:t>Teaching Assistant</w:t>
            </w:r>
          </w:p>
        </w:tc>
      </w:tr>
      <w:tr w:rsidR="00253630" w14:paraId="5809641E" w14:textId="77777777" w:rsidTr="00FE3F96">
        <w:tc>
          <w:tcPr>
            <w:tcW w:w="1555" w:type="dxa"/>
          </w:tcPr>
          <w:p w14:paraId="1DD045F6" w14:textId="77777777" w:rsidR="00253630" w:rsidRDefault="00253630" w:rsidP="001D2D9C">
            <w:pPr>
              <w:spacing w:after="120" w:line="256" w:lineRule="auto"/>
              <w:contextualSpacing/>
              <w:jc w:val="left"/>
              <w:rPr>
                <w:sz w:val="22"/>
                <w:szCs w:val="22"/>
              </w:rPr>
            </w:pPr>
            <w:r>
              <w:rPr>
                <w:sz w:val="22"/>
                <w:szCs w:val="22"/>
              </w:rPr>
              <w:t>4</w:t>
            </w:r>
          </w:p>
        </w:tc>
        <w:tc>
          <w:tcPr>
            <w:tcW w:w="2268" w:type="dxa"/>
          </w:tcPr>
          <w:p w14:paraId="5A18AD61" w14:textId="77777777" w:rsidR="00253630" w:rsidRDefault="00253630" w:rsidP="001D2D9C">
            <w:pPr>
              <w:spacing w:after="120" w:line="256" w:lineRule="auto"/>
              <w:contextualSpacing/>
              <w:jc w:val="left"/>
              <w:rPr>
                <w:sz w:val="22"/>
                <w:szCs w:val="22"/>
              </w:rPr>
            </w:pPr>
          </w:p>
        </w:tc>
        <w:tc>
          <w:tcPr>
            <w:tcW w:w="2976" w:type="dxa"/>
          </w:tcPr>
          <w:p w14:paraId="7FC05939" w14:textId="77777777" w:rsidR="00253630" w:rsidRDefault="00253630" w:rsidP="001D2D9C">
            <w:pPr>
              <w:spacing w:after="120" w:line="256" w:lineRule="auto"/>
              <w:contextualSpacing/>
              <w:jc w:val="left"/>
              <w:rPr>
                <w:sz w:val="22"/>
                <w:szCs w:val="22"/>
              </w:rPr>
            </w:pPr>
            <w:r>
              <w:rPr>
                <w:sz w:val="22"/>
                <w:szCs w:val="22"/>
              </w:rPr>
              <w:t>Research Fellow</w:t>
            </w:r>
          </w:p>
        </w:tc>
        <w:tc>
          <w:tcPr>
            <w:tcW w:w="2832" w:type="dxa"/>
          </w:tcPr>
          <w:p w14:paraId="112BCAA2" w14:textId="77777777" w:rsidR="00253630" w:rsidRDefault="00253630" w:rsidP="001D2D9C">
            <w:pPr>
              <w:spacing w:after="120" w:line="256" w:lineRule="auto"/>
              <w:contextualSpacing/>
              <w:jc w:val="left"/>
              <w:rPr>
                <w:sz w:val="22"/>
                <w:szCs w:val="22"/>
              </w:rPr>
            </w:pPr>
            <w:r>
              <w:rPr>
                <w:sz w:val="22"/>
                <w:szCs w:val="22"/>
              </w:rPr>
              <w:t>Teaching Associate</w:t>
            </w:r>
          </w:p>
        </w:tc>
      </w:tr>
      <w:tr w:rsidR="00253630" w14:paraId="2ABDB6EF" w14:textId="77777777" w:rsidTr="00FE3F96">
        <w:tc>
          <w:tcPr>
            <w:tcW w:w="1555" w:type="dxa"/>
          </w:tcPr>
          <w:p w14:paraId="7B52C6BC" w14:textId="77777777" w:rsidR="00253630" w:rsidRDefault="00253630" w:rsidP="001D2D9C">
            <w:pPr>
              <w:spacing w:after="120" w:line="256" w:lineRule="auto"/>
              <w:contextualSpacing/>
              <w:jc w:val="left"/>
              <w:rPr>
                <w:sz w:val="22"/>
                <w:szCs w:val="22"/>
              </w:rPr>
            </w:pPr>
            <w:r>
              <w:rPr>
                <w:sz w:val="22"/>
                <w:szCs w:val="22"/>
              </w:rPr>
              <w:t>5</w:t>
            </w:r>
          </w:p>
        </w:tc>
        <w:tc>
          <w:tcPr>
            <w:tcW w:w="2268" w:type="dxa"/>
          </w:tcPr>
          <w:p w14:paraId="319F1375" w14:textId="77777777" w:rsidR="00253630" w:rsidRDefault="00253630" w:rsidP="001D2D9C">
            <w:pPr>
              <w:spacing w:after="120" w:line="256" w:lineRule="auto"/>
              <w:contextualSpacing/>
              <w:jc w:val="left"/>
              <w:rPr>
                <w:sz w:val="22"/>
                <w:szCs w:val="22"/>
              </w:rPr>
            </w:pPr>
            <w:r>
              <w:rPr>
                <w:sz w:val="22"/>
                <w:szCs w:val="22"/>
              </w:rPr>
              <w:t>Assistant Professor</w:t>
            </w:r>
          </w:p>
        </w:tc>
        <w:tc>
          <w:tcPr>
            <w:tcW w:w="2976" w:type="dxa"/>
          </w:tcPr>
          <w:p w14:paraId="3EBA3E67" w14:textId="77777777" w:rsidR="00253630" w:rsidRDefault="00253630" w:rsidP="001D2D9C">
            <w:pPr>
              <w:spacing w:after="120" w:line="256" w:lineRule="auto"/>
              <w:contextualSpacing/>
              <w:jc w:val="left"/>
              <w:rPr>
                <w:sz w:val="22"/>
                <w:szCs w:val="22"/>
              </w:rPr>
            </w:pPr>
            <w:r>
              <w:rPr>
                <w:sz w:val="22"/>
                <w:szCs w:val="22"/>
              </w:rPr>
              <w:t>Senior Research Fellow</w:t>
            </w:r>
          </w:p>
        </w:tc>
        <w:tc>
          <w:tcPr>
            <w:tcW w:w="2832" w:type="dxa"/>
          </w:tcPr>
          <w:p w14:paraId="09F8D987" w14:textId="77777777" w:rsidR="00253630" w:rsidRDefault="00253630" w:rsidP="001D2D9C">
            <w:pPr>
              <w:spacing w:after="120" w:line="256" w:lineRule="auto"/>
              <w:contextualSpacing/>
              <w:jc w:val="left"/>
              <w:rPr>
                <w:sz w:val="22"/>
                <w:szCs w:val="22"/>
              </w:rPr>
            </w:pPr>
            <w:r>
              <w:rPr>
                <w:sz w:val="22"/>
                <w:szCs w:val="22"/>
              </w:rPr>
              <w:t>Assistant Professor</w:t>
            </w:r>
          </w:p>
        </w:tc>
      </w:tr>
      <w:tr w:rsidR="00253630" w14:paraId="70E9BAD9" w14:textId="77777777" w:rsidTr="00FE3F96">
        <w:tc>
          <w:tcPr>
            <w:tcW w:w="1555" w:type="dxa"/>
          </w:tcPr>
          <w:p w14:paraId="4B1FACB7" w14:textId="77777777" w:rsidR="00253630" w:rsidRDefault="00253630" w:rsidP="001D2D9C">
            <w:pPr>
              <w:spacing w:after="120" w:line="256" w:lineRule="auto"/>
              <w:contextualSpacing/>
              <w:jc w:val="left"/>
              <w:rPr>
                <w:sz w:val="22"/>
                <w:szCs w:val="22"/>
              </w:rPr>
            </w:pPr>
            <w:r>
              <w:rPr>
                <w:sz w:val="22"/>
                <w:szCs w:val="22"/>
              </w:rPr>
              <w:lastRenderedPageBreak/>
              <w:t>6</w:t>
            </w:r>
          </w:p>
        </w:tc>
        <w:tc>
          <w:tcPr>
            <w:tcW w:w="2268" w:type="dxa"/>
          </w:tcPr>
          <w:p w14:paraId="1931C3AC" w14:textId="77777777" w:rsidR="00253630" w:rsidRDefault="00253630" w:rsidP="001D2D9C">
            <w:pPr>
              <w:spacing w:after="120" w:line="256" w:lineRule="auto"/>
              <w:contextualSpacing/>
              <w:jc w:val="left"/>
              <w:rPr>
                <w:sz w:val="22"/>
                <w:szCs w:val="22"/>
              </w:rPr>
            </w:pPr>
            <w:r>
              <w:rPr>
                <w:sz w:val="22"/>
                <w:szCs w:val="22"/>
              </w:rPr>
              <w:t>Associate Professor</w:t>
            </w:r>
          </w:p>
        </w:tc>
        <w:tc>
          <w:tcPr>
            <w:tcW w:w="2976" w:type="dxa"/>
          </w:tcPr>
          <w:p w14:paraId="252C5323" w14:textId="77777777" w:rsidR="00253630" w:rsidRDefault="00253630" w:rsidP="001D2D9C">
            <w:pPr>
              <w:spacing w:after="120" w:line="256" w:lineRule="auto"/>
              <w:contextualSpacing/>
              <w:jc w:val="left"/>
              <w:rPr>
                <w:sz w:val="22"/>
                <w:szCs w:val="22"/>
              </w:rPr>
            </w:pPr>
            <w:r>
              <w:rPr>
                <w:sz w:val="22"/>
                <w:szCs w:val="22"/>
              </w:rPr>
              <w:t>Principal Research Fellow</w:t>
            </w:r>
          </w:p>
        </w:tc>
        <w:tc>
          <w:tcPr>
            <w:tcW w:w="2832" w:type="dxa"/>
          </w:tcPr>
          <w:p w14:paraId="307E1B4A" w14:textId="77777777" w:rsidR="00253630" w:rsidRDefault="00253630" w:rsidP="001D2D9C">
            <w:pPr>
              <w:spacing w:after="120" w:line="256" w:lineRule="auto"/>
              <w:contextualSpacing/>
              <w:jc w:val="left"/>
              <w:rPr>
                <w:sz w:val="22"/>
                <w:szCs w:val="22"/>
              </w:rPr>
            </w:pPr>
            <w:r>
              <w:rPr>
                <w:sz w:val="22"/>
                <w:szCs w:val="22"/>
              </w:rPr>
              <w:t>Associate Professor</w:t>
            </w:r>
          </w:p>
        </w:tc>
      </w:tr>
      <w:tr w:rsidR="00253630" w14:paraId="78A1A28E" w14:textId="77777777" w:rsidTr="00FE3F96">
        <w:tc>
          <w:tcPr>
            <w:tcW w:w="1555" w:type="dxa"/>
          </w:tcPr>
          <w:p w14:paraId="51B21649" w14:textId="77777777" w:rsidR="00253630" w:rsidRDefault="00253630" w:rsidP="001D2D9C">
            <w:pPr>
              <w:spacing w:after="120" w:line="256" w:lineRule="auto"/>
              <w:contextualSpacing/>
              <w:jc w:val="left"/>
              <w:rPr>
                <w:sz w:val="22"/>
                <w:szCs w:val="22"/>
              </w:rPr>
            </w:pPr>
            <w:r>
              <w:rPr>
                <w:sz w:val="22"/>
                <w:szCs w:val="22"/>
              </w:rPr>
              <w:t>7</w:t>
            </w:r>
          </w:p>
        </w:tc>
        <w:tc>
          <w:tcPr>
            <w:tcW w:w="2268" w:type="dxa"/>
          </w:tcPr>
          <w:p w14:paraId="380DC74F" w14:textId="77777777" w:rsidR="00253630" w:rsidRDefault="00253630" w:rsidP="001D2D9C">
            <w:pPr>
              <w:spacing w:after="120" w:line="256" w:lineRule="auto"/>
              <w:contextualSpacing/>
              <w:jc w:val="left"/>
              <w:rPr>
                <w:sz w:val="22"/>
                <w:szCs w:val="22"/>
              </w:rPr>
            </w:pPr>
            <w:r>
              <w:rPr>
                <w:sz w:val="22"/>
                <w:szCs w:val="22"/>
              </w:rPr>
              <w:t>Professor</w:t>
            </w:r>
          </w:p>
        </w:tc>
        <w:tc>
          <w:tcPr>
            <w:tcW w:w="2976" w:type="dxa"/>
          </w:tcPr>
          <w:p w14:paraId="03A404E9" w14:textId="77777777" w:rsidR="00253630" w:rsidRDefault="00253630" w:rsidP="001D2D9C">
            <w:pPr>
              <w:spacing w:after="120" w:line="256" w:lineRule="auto"/>
              <w:contextualSpacing/>
              <w:jc w:val="left"/>
              <w:rPr>
                <w:sz w:val="22"/>
                <w:szCs w:val="22"/>
              </w:rPr>
            </w:pPr>
            <w:r>
              <w:rPr>
                <w:sz w:val="22"/>
                <w:szCs w:val="22"/>
              </w:rPr>
              <w:t>Professor</w:t>
            </w:r>
          </w:p>
        </w:tc>
        <w:tc>
          <w:tcPr>
            <w:tcW w:w="2832" w:type="dxa"/>
          </w:tcPr>
          <w:p w14:paraId="465CFEA4" w14:textId="77777777" w:rsidR="00253630" w:rsidRDefault="00253630" w:rsidP="001D2D9C">
            <w:pPr>
              <w:spacing w:after="120" w:line="256" w:lineRule="auto"/>
              <w:contextualSpacing/>
              <w:jc w:val="left"/>
              <w:rPr>
                <w:sz w:val="22"/>
                <w:szCs w:val="22"/>
              </w:rPr>
            </w:pPr>
            <w:r>
              <w:rPr>
                <w:sz w:val="22"/>
                <w:szCs w:val="22"/>
              </w:rPr>
              <w:t>Professor</w:t>
            </w:r>
          </w:p>
        </w:tc>
      </w:tr>
    </w:tbl>
    <w:p w14:paraId="67257F78" w14:textId="6BE61EA4" w:rsidR="00490868" w:rsidRPr="00C147B4" w:rsidRDefault="00490868" w:rsidP="001D2D9C">
      <w:pPr>
        <w:jc w:val="left"/>
        <w:rPr>
          <w:rFonts w:ascii="Verdana" w:hAnsi="Verdana"/>
          <w:sz w:val="20"/>
          <w:szCs w:val="20"/>
        </w:rPr>
      </w:pPr>
    </w:p>
    <w:p w14:paraId="2CAF152B" w14:textId="77777777" w:rsidR="00EE6C36" w:rsidRPr="00582847" w:rsidRDefault="00EE6C36" w:rsidP="001D2D9C">
      <w:pPr>
        <w:pStyle w:val="Heading2"/>
        <w:numPr>
          <w:ilvl w:val="0"/>
          <w:numId w:val="1"/>
        </w:numPr>
        <w:tabs>
          <w:tab w:val="num" w:pos="360"/>
        </w:tabs>
        <w:ind w:left="0" w:firstLine="0"/>
        <w:jc w:val="left"/>
        <w:rPr>
          <w:rFonts w:ascii="Arial" w:hAnsi="Arial" w:cs="Arial"/>
          <w:b/>
          <w:color w:val="10263B"/>
          <w:sz w:val="24"/>
          <w:szCs w:val="24"/>
        </w:rPr>
      </w:pPr>
      <w:r w:rsidRPr="00582847">
        <w:rPr>
          <w:rFonts w:ascii="Arial" w:hAnsi="Arial" w:cs="Arial"/>
          <w:b/>
          <w:color w:val="10263B"/>
          <w:sz w:val="24"/>
          <w:szCs w:val="24"/>
        </w:rPr>
        <w:t>Criteria for promotion</w:t>
      </w:r>
    </w:p>
    <w:p w14:paraId="53CBEF75" w14:textId="77777777" w:rsidR="00EE6C36" w:rsidRDefault="00EE6C36" w:rsidP="001D2D9C">
      <w:pPr>
        <w:jc w:val="left"/>
        <w:rPr>
          <w:sz w:val="20"/>
          <w:szCs w:val="20"/>
        </w:rPr>
      </w:pPr>
    </w:p>
    <w:p w14:paraId="51AE375E" w14:textId="77777777" w:rsidR="00EE6C36" w:rsidRPr="00FD0BB8" w:rsidRDefault="00EE6C36" w:rsidP="001D2D9C">
      <w:pPr>
        <w:jc w:val="left"/>
        <w:rPr>
          <w:sz w:val="22"/>
          <w:szCs w:val="22"/>
        </w:rPr>
      </w:pPr>
      <w:r w:rsidRPr="00FD0BB8">
        <w:rPr>
          <w:sz w:val="22"/>
          <w:szCs w:val="22"/>
        </w:rPr>
        <w:t xml:space="preserve">All staff in the </w:t>
      </w:r>
      <w:r>
        <w:rPr>
          <w:sz w:val="22"/>
          <w:szCs w:val="22"/>
        </w:rPr>
        <w:t>Research and Teaching</w:t>
      </w:r>
      <w:r w:rsidRPr="00FD0BB8">
        <w:rPr>
          <w:sz w:val="22"/>
          <w:szCs w:val="22"/>
        </w:rPr>
        <w:t xml:space="preserve"> job family may put themselves forward for promotion where they consider their knowledge, skills and experience match the relevant criteria.</w:t>
      </w:r>
    </w:p>
    <w:p w14:paraId="238EDF27" w14:textId="77777777" w:rsidR="00EE6C36" w:rsidRPr="00FD0BB8" w:rsidRDefault="00EE6C36" w:rsidP="001D2D9C">
      <w:pPr>
        <w:jc w:val="left"/>
        <w:rPr>
          <w:sz w:val="22"/>
          <w:szCs w:val="22"/>
        </w:rPr>
      </w:pPr>
    </w:p>
    <w:p w14:paraId="3B139204" w14:textId="6D51EF3B" w:rsidR="00EE6C36" w:rsidRDefault="00EE6C36" w:rsidP="001D2D9C">
      <w:pPr>
        <w:jc w:val="left"/>
        <w:rPr>
          <w:sz w:val="22"/>
          <w:szCs w:val="22"/>
        </w:rPr>
      </w:pPr>
      <w:r w:rsidRPr="00FD0BB8">
        <w:rPr>
          <w:sz w:val="22"/>
          <w:szCs w:val="22"/>
        </w:rPr>
        <w:t>The University’s promotion process recognises a high level of achievement in three broad areas of activity:</w:t>
      </w:r>
    </w:p>
    <w:p w14:paraId="7B5391C2" w14:textId="77777777" w:rsidR="00332371" w:rsidRDefault="00332371" w:rsidP="001D2D9C">
      <w:pPr>
        <w:jc w:val="left"/>
        <w:rPr>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1"/>
      </w:tblGrid>
      <w:tr w:rsidR="00EE6C36" w14:paraId="3A12F739" w14:textId="77777777" w:rsidTr="00332371">
        <w:tc>
          <w:tcPr>
            <w:tcW w:w="4820" w:type="dxa"/>
          </w:tcPr>
          <w:p w14:paraId="78D57BCA" w14:textId="77777777" w:rsidR="00EE6C36" w:rsidRDefault="00EE6C36" w:rsidP="001D2D9C">
            <w:pPr>
              <w:pStyle w:val="ListParagraph"/>
              <w:numPr>
                <w:ilvl w:val="0"/>
                <w:numId w:val="2"/>
              </w:numPr>
              <w:jc w:val="left"/>
              <w:rPr>
                <w:sz w:val="22"/>
                <w:szCs w:val="22"/>
              </w:rPr>
            </w:pPr>
            <w:r>
              <w:rPr>
                <w:sz w:val="22"/>
                <w:szCs w:val="22"/>
              </w:rPr>
              <w:t>Research and/or scholarship</w:t>
            </w:r>
          </w:p>
          <w:p w14:paraId="30FAFA81" w14:textId="77777777" w:rsidR="00EE6C36" w:rsidRPr="00DF44F6" w:rsidRDefault="00EE6C36" w:rsidP="001D2D9C">
            <w:pPr>
              <w:pStyle w:val="ListParagraph"/>
              <w:jc w:val="left"/>
              <w:rPr>
                <w:sz w:val="4"/>
                <w:szCs w:val="4"/>
              </w:rPr>
            </w:pPr>
          </w:p>
        </w:tc>
        <w:tc>
          <w:tcPr>
            <w:tcW w:w="4811" w:type="dxa"/>
            <w:vMerge w:val="restart"/>
            <w:vAlign w:val="center"/>
          </w:tcPr>
          <w:p w14:paraId="27690619" w14:textId="77777777" w:rsidR="00EE6C36" w:rsidRDefault="00EE6C36" w:rsidP="001D2D9C">
            <w:pPr>
              <w:jc w:val="left"/>
              <w:rPr>
                <w:sz w:val="22"/>
                <w:szCs w:val="22"/>
              </w:rPr>
            </w:pPr>
            <w:r>
              <w:rPr>
                <w:sz w:val="22"/>
                <w:szCs w:val="22"/>
              </w:rPr>
              <w:t xml:space="preserve">} Including engaging with business/external </w:t>
            </w:r>
          </w:p>
          <w:p w14:paraId="031BC1C1" w14:textId="77777777" w:rsidR="00EE6C36" w:rsidRDefault="00EE6C36" w:rsidP="001D2D9C">
            <w:pPr>
              <w:jc w:val="left"/>
              <w:rPr>
                <w:sz w:val="22"/>
                <w:szCs w:val="22"/>
              </w:rPr>
            </w:pPr>
            <w:r>
              <w:rPr>
                <w:sz w:val="22"/>
                <w:szCs w:val="22"/>
              </w:rPr>
              <w:t xml:space="preserve">} communities – knowledge exchange and </w:t>
            </w:r>
          </w:p>
          <w:p w14:paraId="5AE4C654" w14:textId="77777777" w:rsidR="00EE6C36" w:rsidRDefault="00EE6C36" w:rsidP="001D2D9C">
            <w:pPr>
              <w:jc w:val="left"/>
              <w:rPr>
                <w:sz w:val="22"/>
                <w:szCs w:val="22"/>
              </w:rPr>
            </w:pPr>
            <w:r>
              <w:rPr>
                <w:sz w:val="22"/>
                <w:szCs w:val="22"/>
              </w:rPr>
              <w:t>} global research – international</w:t>
            </w:r>
          </w:p>
          <w:p w14:paraId="15996DB8" w14:textId="77777777" w:rsidR="00EE6C36" w:rsidRDefault="00EE6C36" w:rsidP="001D2D9C">
            <w:pPr>
              <w:jc w:val="left"/>
              <w:rPr>
                <w:sz w:val="22"/>
                <w:szCs w:val="22"/>
              </w:rPr>
            </w:pPr>
          </w:p>
        </w:tc>
      </w:tr>
      <w:tr w:rsidR="00EE6C36" w14:paraId="3BB198E3" w14:textId="77777777" w:rsidTr="00332371">
        <w:tc>
          <w:tcPr>
            <w:tcW w:w="4820" w:type="dxa"/>
          </w:tcPr>
          <w:p w14:paraId="04A31536" w14:textId="77777777" w:rsidR="00EE6C36" w:rsidRPr="006C48F5" w:rsidRDefault="00EE6C36" w:rsidP="001D2D9C">
            <w:pPr>
              <w:pStyle w:val="ListParagraph"/>
              <w:numPr>
                <w:ilvl w:val="0"/>
                <w:numId w:val="2"/>
              </w:numPr>
              <w:jc w:val="left"/>
              <w:rPr>
                <w:sz w:val="22"/>
                <w:szCs w:val="22"/>
              </w:rPr>
            </w:pPr>
            <w:r>
              <w:rPr>
                <w:sz w:val="22"/>
                <w:szCs w:val="22"/>
              </w:rPr>
              <w:t>Teaching and curriculum leadership activity</w:t>
            </w:r>
          </w:p>
        </w:tc>
        <w:tc>
          <w:tcPr>
            <w:tcW w:w="4811" w:type="dxa"/>
            <w:vMerge/>
          </w:tcPr>
          <w:p w14:paraId="7F716160" w14:textId="77777777" w:rsidR="00EE6C36" w:rsidRDefault="00EE6C36" w:rsidP="001D2D9C">
            <w:pPr>
              <w:jc w:val="left"/>
              <w:rPr>
                <w:sz w:val="22"/>
                <w:szCs w:val="22"/>
              </w:rPr>
            </w:pPr>
          </w:p>
        </w:tc>
      </w:tr>
      <w:tr w:rsidR="00EE6C36" w14:paraId="57D9526A" w14:textId="77777777" w:rsidTr="00332371">
        <w:tc>
          <w:tcPr>
            <w:tcW w:w="4820" w:type="dxa"/>
          </w:tcPr>
          <w:p w14:paraId="2742FD6E" w14:textId="77777777" w:rsidR="00EE6C36" w:rsidRPr="006C48F5" w:rsidRDefault="00EE6C36" w:rsidP="001D2D9C">
            <w:pPr>
              <w:pStyle w:val="ListParagraph"/>
              <w:numPr>
                <w:ilvl w:val="0"/>
                <w:numId w:val="2"/>
              </w:numPr>
              <w:jc w:val="left"/>
              <w:rPr>
                <w:sz w:val="22"/>
                <w:szCs w:val="22"/>
              </w:rPr>
            </w:pPr>
            <w:r>
              <w:rPr>
                <w:sz w:val="22"/>
                <w:szCs w:val="22"/>
              </w:rPr>
              <w:t>U</w:t>
            </w:r>
            <w:r w:rsidRPr="00FD0BB8">
              <w:rPr>
                <w:sz w:val="22"/>
                <w:szCs w:val="22"/>
              </w:rPr>
              <w:t xml:space="preserve">niversity and academic service, good citizenship, and demonstration of the University </w:t>
            </w:r>
            <w:hyperlink r:id="rId15" w:history="1">
              <w:r w:rsidRPr="00FD0BB8">
                <w:rPr>
                  <w:rStyle w:val="Hyperlink"/>
                  <w:sz w:val="22"/>
                  <w:szCs w:val="22"/>
                </w:rPr>
                <w:t>values</w:t>
              </w:r>
            </w:hyperlink>
          </w:p>
        </w:tc>
        <w:tc>
          <w:tcPr>
            <w:tcW w:w="4811" w:type="dxa"/>
          </w:tcPr>
          <w:p w14:paraId="50012AF1" w14:textId="77777777" w:rsidR="00EE6C36" w:rsidRDefault="00EE6C36" w:rsidP="001D2D9C">
            <w:pPr>
              <w:jc w:val="left"/>
              <w:rPr>
                <w:sz w:val="22"/>
                <w:szCs w:val="22"/>
              </w:rPr>
            </w:pPr>
            <w:r>
              <w:rPr>
                <w:sz w:val="22"/>
                <w:szCs w:val="22"/>
              </w:rPr>
              <w:t>F</w:t>
            </w:r>
            <w:r w:rsidRPr="00FD0BB8">
              <w:rPr>
                <w:sz w:val="22"/>
                <w:szCs w:val="22"/>
              </w:rPr>
              <w:t>or example by offering high level leadership, collegiality, inclusivity, knowledge exchange, pastoral care and administration within the University, or by engaging on behalf of the University with the wider community civically and globally</w:t>
            </w:r>
            <w:r>
              <w:rPr>
                <w:sz w:val="22"/>
                <w:szCs w:val="22"/>
              </w:rPr>
              <w:t>.</w:t>
            </w:r>
          </w:p>
        </w:tc>
      </w:tr>
    </w:tbl>
    <w:p w14:paraId="473B97CE" w14:textId="77777777" w:rsidR="00EE6C36" w:rsidRPr="00FD0BB8" w:rsidRDefault="00EE6C36" w:rsidP="001D2D9C">
      <w:pPr>
        <w:jc w:val="left"/>
        <w:rPr>
          <w:sz w:val="22"/>
          <w:szCs w:val="22"/>
        </w:rPr>
      </w:pPr>
    </w:p>
    <w:p w14:paraId="543B97DF" w14:textId="42DE4E21" w:rsidR="00EE6C36" w:rsidRPr="00FD0BB8" w:rsidRDefault="00EE6C36" w:rsidP="001D2D9C">
      <w:pPr>
        <w:jc w:val="left"/>
        <w:rPr>
          <w:sz w:val="22"/>
          <w:szCs w:val="22"/>
        </w:rPr>
      </w:pPr>
      <w:r w:rsidRPr="00FD0BB8">
        <w:rPr>
          <w:sz w:val="22"/>
          <w:szCs w:val="22"/>
        </w:rPr>
        <w:t xml:space="preserve">All applicants are expected to demonstrate high achievement in the areas applicable to the focus of their role and all must include evidence of </w:t>
      </w:r>
      <w:r w:rsidR="00BF3439">
        <w:rPr>
          <w:sz w:val="22"/>
          <w:szCs w:val="22"/>
        </w:rPr>
        <w:t>university</w:t>
      </w:r>
      <w:r w:rsidRPr="00FD0BB8">
        <w:rPr>
          <w:sz w:val="22"/>
          <w:szCs w:val="22"/>
        </w:rPr>
        <w:t xml:space="preserve"> and academic service. Each individual case will be judged on its merits and limited to information included in the submitted paperwork.</w:t>
      </w:r>
    </w:p>
    <w:p w14:paraId="0D3E1E48" w14:textId="77777777" w:rsidR="00EE6C36" w:rsidRPr="00FD0BB8" w:rsidRDefault="00EE6C36" w:rsidP="001D2D9C">
      <w:pPr>
        <w:jc w:val="left"/>
        <w:rPr>
          <w:sz w:val="22"/>
          <w:szCs w:val="22"/>
        </w:rPr>
      </w:pPr>
    </w:p>
    <w:p w14:paraId="231C6296" w14:textId="77777777" w:rsidR="00EE6C36" w:rsidRPr="00FD0BB8" w:rsidRDefault="00EE6C36" w:rsidP="001D2D9C">
      <w:pPr>
        <w:jc w:val="left"/>
        <w:rPr>
          <w:sz w:val="22"/>
          <w:szCs w:val="22"/>
        </w:rPr>
      </w:pPr>
      <w:r w:rsidRPr="00FD0BB8">
        <w:rPr>
          <w:sz w:val="22"/>
          <w:szCs w:val="22"/>
        </w:rPr>
        <w:t>In the case of a promotion application from an academic veterinary clinician it is recognised that professional clinical practice is a significant part of the role. The balance of activities may be different from that of other R</w:t>
      </w:r>
      <w:r>
        <w:rPr>
          <w:sz w:val="22"/>
          <w:szCs w:val="22"/>
        </w:rPr>
        <w:t>esearch and Teaching</w:t>
      </w:r>
      <w:r w:rsidRPr="00FD0BB8">
        <w:rPr>
          <w:sz w:val="22"/>
          <w:szCs w:val="22"/>
        </w:rPr>
        <w:t xml:space="preserve"> roles and there is likely to be less focus on research, given the importance of clinical practice in teaching and knowledge transfer.</w:t>
      </w:r>
    </w:p>
    <w:p w14:paraId="12FED156" w14:textId="77777777" w:rsidR="00EE6C36" w:rsidRPr="00FD0BB8" w:rsidRDefault="00EE6C36" w:rsidP="001D2D9C">
      <w:pPr>
        <w:jc w:val="left"/>
        <w:rPr>
          <w:sz w:val="22"/>
          <w:szCs w:val="22"/>
        </w:rPr>
      </w:pPr>
    </w:p>
    <w:p w14:paraId="54B19699" w14:textId="77777777" w:rsidR="00EE6C36" w:rsidRPr="00FD0BB8" w:rsidRDefault="00EE6C36" w:rsidP="001D2D9C">
      <w:pPr>
        <w:jc w:val="left"/>
        <w:rPr>
          <w:rFonts w:eastAsia="Arial"/>
          <w:sz w:val="22"/>
          <w:szCs w:val="22"/>
        </w:rPr>
      </w:pPr>
      <w:bookmarkStart w:id="1" w:name="_Hlk64362469"/>
      <w:r w:rsidRPr="00FD0BB8">
        <w:rPr>
          <w:rFonts w:eastAsia="Arial"/>
          <w:sz w:val="22"/>
          <w:szCs w:val="22"/>
        </w:rPr>
        <w:t xml:space="preserve">The University is a signatory of the Declaration on Research Assessment (DORA). As such the University commits to focus on the scientific content of publications as a basis for review of quality, and consideration of value and impact of research conducted, rather than any proxy measures such as Journal Impact Factor. </w:t>
      </w:r>
    </w:p>
    <w:bookmarkEnd w:id="1"/>
    <w:p w14:paraId="3BEB5AED" w14:textId="77777777" w:rsidR="00EE6C36" w:rsidRPr="00FD0BB8" w:rsidRDefault="00EE6C36" w:rsidP="001D2D9C">
      <w:pPr>
        <w:jc w:val="left"/>
        <w:rPr>
          <w:sz w:val="22"/>
          <w:szCs w:val="22"/>
        </w:rPr>
      </w:pPr>
    </w:p>
    <w:p w14:paraId="4F0C0CCA" w14:textId="0F720022" w:rsidR="00EE6C36" w:rsidRPr="00FD0BB8" w:rsidRDefault="0060311D" w:rsidP="001D2D9C">
      <w:pPr>
        <w:jc w:val="left"/>
        <w:rPr>
          <w:sz w:val="22"/>
          <w:szCs w:val="22"/>
        </w:rPr>
      </w:pPr>
      <w:r>
        <w:rPr>
          <w:sz w:val="22"/>
          <w:szCs w:val="22"/>
        </w:rPr>
        <w:t xml:space="preserve">The Academic Promotion Criteria is grouped by </w:t>
      </w:r>
      <w:r w:rsidR="0078043A">
        <w:rPr>
          <w:sz w:val="22"/>
          <w:szCs w:val="22"/>
        </w:rPr>
        <w:t>career pathway and provided for each level.</w:t>
      </w:r>
    </w:p>
    <w:p w14:paraId="4807F223" w14:textId="77777777" w:rsidR="0060778C" w:rsidRDefault="0060778C" w:rsidP="001D2D9C">
      <w:pPr>
        <w:jc w:val="left"/>
      </w:pPr>
    </w:p>
    <w:p w14:paraId="0EC0B24A" w14:textId="77777777" w:rsidR="00F94E1F" w:rsidRPr="00D824A9" w:rsidRDefault="00F94E1F" w:rsidP="001D2D9C">
      <w:pPr>
        <w:pStyle w:val="Heading2"/>
        <w:numPr>
          <w:ilvl w:val="0"/>
          <w:numId w:val="1"/>
        </w:numPr>
        <w:tabs>
          <w:tab w:val="num" w:pos="360"/>
        </w:tabs>
        <w:ind w:left="0" w:firstLine="0"/>
        <w:jc w:val="left"/>
        <w:rPr>
          <w:rFonts w:ascii="Arial" w:hAnsi="Arial" w:cs="Arial"/>
          <w:b/>
          <w:bCs/>
          <w:color w:val="10263B"/>
          <w:sz w:val="24"/>
          <w:szCs w:val="24"/>
        </w:rPr>
      </w:pPr>
      <w:r w:rsidRPr="00D824A9">
        <w:rPr>
          <w:rFonts w:ascii="Arial" w:hAnsi="Arial" w:cs="Arial"/>
          <w:b/>
          <w:bCs/>
          <w:color w:val="10263B"/>
          <w:sz w:val="24"/>
          <w:szCs w:val="24"/>
        </w:rPr>
        <w:t>University requirements for teaching-related posts (Teaching &amp; Curriculum Leadership and Research and Teaching routes)</w:t>
      </w:r>
    </w:p>
    <w:p w14:paraId="118473D6" w14:textId="77777777" w:rsidR="00F94E1F" w:rsidRPr="002C2316" w:rsidRDefault="00F94E1F" w:rsidP="001D2D9C">
      <w:pPr>
        <w:jc w:val="left"/>
        <w:rPr>
          <w:b/>
          <w:bCs/>
          <w:sz w:val="20"/>
          <w:szCs w:val="20"/>
        </w:rPr>
      </w:pPr>
    </w:p>
    <w:p w14:paraId="215CA000" w14:textId="03AC626C" w:rsidR="00F94E1F" w:rsidRPr="00126C2B" w:rsidRDefault="00F94E1F" w:rsidP="001D2D9C">
      <w:pPr>
        <w:jc w:val="left"/>
        <w:rPr>
          <w:sz w:val="22"/>
          <w:szCs w:val="22"/>
        </w:rPr>
      </w:pPr>
      <w:r w:rsidRPr="7A17D38C">
        <w:rPr>
          <w:sz w:val="22"/>
          <w:szCs w:val="22"/>
        </w:rPr>
        <w:t>As part of its commitment to maintaining the highest academic standards in teaching and</w:t>
      </w:r>
      <w:r>
        <w:rPr>
          <w:sz w:val="22"/>
          <w:szCs w:val="22"/>
        </w:rPr>
        <w:t xml:space="preserve"> curriculum leadership</w:t>
      </w:r>
      <w:r w:rsidRPr="7A17D38C">
        <w:rPr>
          <w:sz w:val="22"/>
          <w:szCs w:val="22"/>
        </w:rPr>
        <w:t xml:space="preserve">, the University expects all newly appointed or promoted teaching-related staff to gain a qualification or recognition by a professional body as accepted by HESA, if not already achieved. Applicants will not be eligible for promotion to the next level in the job family until this requirement has been completed. Please see </w:t>
      </w:r>
      <w:r w:rsidR="00511BCD">
        <w:rPr>
          <w:sz w:val="22"/>
          <w:szCs w:val="22"/>
        </w:rPr>
        <w:t>the Summary of University Requirements for Teaching-Related Posts</w:t>
      </w:r>
      <w:r w:rsidRPr="7A17D38C">
        <w:rPr>
          <w:sz w:val="22"/>
          <w:szCs w:val="22"/>
        </w:rPr>
        <w:t xml:space="preserve"> for </w:t>
      </w:r>
      <w:r w:rsidR="00996E63">
        <w:rPr>
          <w:sz w:val="22"/>
          <w:szCs w:val="22"/>
        </w:rPr>
        <w:t xml:space="preserve">the requirements </w:t>
      </w:r>
      <w:r w:rsidRPr="7A17D38C">
        <w:rPr>
          <w:sz w:val="22"/>
          <w:szCs w:val="22"/>
        </w:rPr>
        <w:t>for each level.</w:t>
      </w:r>
    </w:p>
    <w:p w14:paraId="61F5BA9C" w14:textId="3CA504BB" w:rsidR="007806B5" w:rsidRDefault="007806B5" w:rsidP="001D2D9C">
      <w:pPr>
        <w:jc w:val="left"/>
      </w:pPr>
    </w:p>
    <w:p w14:paraId="21B342B1" w14:textId="5D43E68D" w:rsidR="00332371" w:rsidRDefault="00332371" w:rsidP="001D2D9C">
      <w:pPr>
        <w:jc w:val="left"/>
      </w:pPr>
    </w:p>
    <w:p w14:paraId="10F0A444" w14:textId="2F40936B" w:rsidR="00332371" w:rsidRDefault="00332371" w:rsidP="001D2D9C">
      <w:pPr>
        <w:jc w:val="left"/>
      </w:pPr>
    </w:p>
    <w:p w14:paraId="5B6439E6" w14:textId="0D5690CF" w:rsidR="00332371" w:rsidRDefault="00332371" w:rsidP="001D2D9C">
      <w:pPr>
        <w:jc w:val="left"/>
      </w:pPr>
    </w:p>
    <w:p w14:paraId="4CFE0D65" w14:textId="77777777" w:rsidR="00332371" w:rsidRDefault="00332371" w:rsidP="001D2D9C">
      <w:pPr>
        <w:jc w:val="left"/>
      </w:pPr>
    </w:p>
    <w:p w14:paraId="78400A0E" w14:textId="77777777" w:rsidR="004332E0" w:rsidRPr="00D824A9" w:rsidRDefault="004332E0" w:rsidP="001D2D9C">
      <w:pPr>
        <w:pStyle w:val="Heading2"/>
        <w:numPr>
          <w:ilvl w:val="0"/>
          <w:numId w:val="1"/>
        </w:numPr>
        <w:tabs>
          <w:tab w:val="num" w:pos="360"/>
        </w:tabs>
        <w:ind w:left="0" w:firstLine="0"/>
        <w:jc w:val="left"/>
        <w:rPr>
          <w:rFonts w:ascii="Arial" w:hAnsi="Arial" w:cs="Arial"/>
          <w:b/>
          <w:color w:val="10263B"/>
          <w:sz w:val="24"/>
          <w:szCs w:val="24"/>
        </w:rPr>
      </w:pPr>
      <w:r w:rsidRPr="00D824A9">
        <w:rPr>
          <w:rFonts w:ascii="Arial" w:hAnsi="Arial" w:cs="Arial"/>
          <w:b/>
          <w:color w:val="10263B"/>
          <w:sz w:val="24"/>
          <w:szCs w:val="24"/>
        </w:rPr>
        <w:t>Salary on Promotion</w:t>
      </w:r>
    </w:p>
    <w:p w14:paraId="4BCEA063" w14:textId="77777777" w:rsidR="004332E0" w:rsidRPr="000E0666" w:rsidRDefault="004332E0" w:rsidP="001D2D9C">
      <w:pPr>
        <w:jc w:val="left"/>
        <w:rPr>
          <w:sz w:val="20"/>
        </w:rPr>
      </w:pPr>
    </w:p>
    <w:p w14:paraId="50EBE5FB" w14:textId="00BC2475" w:rsidR="004332E0" w:rsidRPr="00E76F95" w:rsidRDefault="004332E0" w:rsidP="001D2D9C">
      <w:pPr>
        <w:autoSpaceDE w:val="0"/>
        <w:autoSpaceDN w:val="0"/>
        <w:jc w:val="left"/>
        <w:rPr>
          <w:color w:val="000000"/>
          <w:sz w:val="22"/>
          <w:szCs w:val="22"/>
        </w:rPr>
      </w:pPr>
      <w:r>
        <w:rPr>
          <w:color w:val="000000" w:themeColor="text1"/>
          <w:sz w:val="22"/>
          <w:szCs w:val="22"/>
        </w:rPr>
        <w:t>Academic</w:t>
      </w:r>
      <w:r w:rsidRPr="00E76F95">
        <w:rPr>
          <w:color w:val="000000" w:themeColor="text1"/>
          <w:sz w:val="22"/>
          <w:szCs w:val="22"/>
        </w:rPr>
        <w:t xml:space="preserve"> promotion</w:t>
      </w:r>
      <w:r w:rsidR="004A1B18">
        <w:rPr>
          <w:color w:val="000000" w:themeColor="text1"/>
          <w:sz w:val="22"/>
          <w:szCs w:val="22"/>
        </w:rPr>
        <w:t>s</w:t>
      </w:r>
      <w:r w:rsidRPr="00E76F95">
        <w:rPr>
          <w:color w:val="000000" w:themeColor="text1"/>
          <w:sz w:val="22"/>
          <w:szCs w:val="22"/>
        </w:rPr>
        <w:t xml:space="preserve"> are made to reward achievement. Successful applicants will be moved to the bottom point of the </w:t>
      </w:r>
      <w:hyperlink r:id="rId16" w:history="1">
        <w:r w:rsidRPr="009B2A6E">
          <w:rPr>
            <w:rStyle w:val="Hyperlink"/>
            <w:sz w:val="22"/>
            <w:szCs w:val="22"/>
          </w:rPr>
          <w:t>salary scale</w:t>
        </w:r>
      </w:hyperlink>
      <w:r w:rsidRPr="00E76F95">
        <w:rPr>
          <w:color w:val="000000" w:themeColor="text1"/>
          <w:sz w:val="22"/>
          <w:szCs w:val="22"/>
        </w:rPr>
        <w:t xml:space="preserve"> relevant to their new level</w:t>
      </w:r>
      <w:r>
        <w:rPr>
          <w:color w:val="000000" w:themeColor="text1"/>
          <w:sz w:val="22"/>
          <w:szCs w:val="22"/>
        </w:rPr>
        <w:t>.</w:t>
      </w:r>
      <w:r w:rsidRPr="00E76F95">
        <w:rPr>
          <w:color w:val="000000" w:themeColor="text1"/>
          <w:sz w:val="22"/>
          <w:szCs w:val="22"/>
        </w:rPr>
        <w:t xml:space="preserve"> </w:t>
      </w:r>
      <w:r>
        <w:rPr>
          <w:color w:val="000000" w:themeColor="text1"/>
          <w:sz w:val="22"/>
          <w:szCs w:val="22"/>
        </w:rPr>
        <w:t>If current</w:t>
      </w:r>
      <w:r w:rsidRPr="00E76F95">
        <w:rPr>
          <w:color w:val="000000" w:themeColor="text1"/>
          <w:sz w:val="22"/>
          <w:szCs w:val="22"/>
        </w:rPr>
        <w:t xml:space="preserve"> salary is already at or above that amount,</w:t>
      </w:r>
      <w:r>
        <w:rPr>
          <w:color w:val="000000" w:themeColor="text1"/>
          <w:sz w:val="22"/>
          <w:szCs w:val="22"/>
        </w:rPr>
        <w:t xml:space="preserve"> </w:t>
      </w:r>
      <w:r w:rsidRPr="00E76F95">
        <w:rPr>
          <w:color w:val="000000" w:themeColor="text1"/>
          <w:sz w:val="22"/>
          <w:szCs w:val="22"/>
        </w:rPr>
        <w:t>they will be moved to the next point up</w:t>
      </w:r>
      <w:r w:rsidRPr="00E76F95">
        <w:rPr>
          <w:b/>
          <w:color w:val="000000" w:themeColor="text1"/>
          <w:sz w:val="22"/>
          <w:szCs w:val="22"/>
        </w:rPr>
        <w:t xml:space="preserve"> </w:t>
      </w:r>
      <w:r w:rsidRPr="00E76F95">
        <w:rPr>
          <w:color w:val="000000" w:themeColor="text1"/>
          <w:sz w:val="22"/>
          <w:szCs w:val="22"/>
        </w:rPr>
        <w:t>on the salary</w:t>
      </w:r>
      <w:r w:rsidRPr="00E76F95">
        <w:rPr>
          <w:sz w:val="22"/>
          <w:szCs w:val="22"/>
        </w:rPr>
        <w:t xml:space="preserve"> </w:t>
      </w:r>
      <w:r w:rsidRPr="00E76F95">
        <w:rPr>
          <w:color w:val="000000" w:themeColor="text1"/>
          <w:sz w:val="22"/>
          <w:szCs w:val="22"/>
        </w:rPr>
        <w:t>scale relevant to their new level.</w:t>
      </w:r>
    </w:p>
    <w:p w14:paraId="04E2BD3B" w14:textId="77777777" w:rsidR="004332E0" w:rsidRDefault="004332E0" w:rsidP="001D2D9C">
      <w:pPr>
        <w:jc w:val="left"/>
        <w:rPr>
          <w:sz w:val="20"/>
          <w:szCs w:val="20"/>
        </w:rPr>
      </w:pPr>
    </w:p>
    <w:p w14:paraId="09823B42" w14:textId="4A35F4B1" w:rsidR="004332E0" w:rsidRPr="00E76F95" w:rsidRDefault="004332E0" w:rsidP="001D2D9C">
      <w:pPr>
        <w:jc w:val="left"/>
        <w:rPr>
          <w:sz w:val="22"/>
          <w:szCs w:val="22"/>
        </w:rPr>
      </w:pPr>
      <w:r w:rsidRPr="00E76F95">
        <w:rPr>
          <w:sz w:val="22"/>
          <w:szCs w:val="22"/>
        </w:rPr>
        <w:t xml:space="preserve">This will mean a salary increase on promotion and access to a new </w:t>
      </w:r>
      <w:r w:rsidRPr="009B2A6E">
        <w:rPr>
          <w:sz w:val="22"/>
          <w:szCs w:val="22"/>
        </w:rPr>
        <w:t>salary scale</w:t>
      </w:r>
      <w:r w:rsidRPr="00E76F95">
        <w:rPr>
          <w:sz w:val="22"/>
          <w:szCs w:val="22"/>
        </w:rPr>
        <w:t xml:space="preserve"> </w:t>
      </w:r>
      <w:r w:rsidR="78383421" w:rsidRPr="1851F529">
        <w:rPr>
          <w:sz w:val="22"/>
          <w:szCs w:val="22"/>
        </w:rPr>
        <w:t xml:space="preserve">up </w:t>
      </w:r>
      <w:r w:rsidRPr="00E76F95">
        <w:rPr>
          <w:sz w:val="22"/>
          <w:szCs w:val="22"/>
        </w:rPr>
        <w:t xml:space="preserve">which the promoted applicant can progress. </w:t>
      </w:r>
    </w:p>
    <w:p w14:paraId="777C7F61" w14:textId="77777777" w:rsidR="007D7D55" w:rsidRDefault="007D7D55" w:rsidP="001D2D9C">
      <w:pPr>
        <w:jc w:val="left"/>
      </w:pPr>
    </w:p>
    <w:p w14:paraId="7B627463" w14:textId="77777777" w:rsidR="00401FC3" w:rsidRPr="00593E3F" w:rsidRDefault="00401FC3" w:rsidP="001D2D9C">
      <w:pPr>
        <w:pStyle w:val="Heading2"/>
        <w:numPr>
          <w:ilvl w:val="0"/>
          <w:numId w:val="1"/>
        </w:numPr>
        <w:tabs>
          <w:tab w:val="num" w:pos="360"/>
        </w:tabs>
        <w:ind w:left="0" w:firstLine="0"/>
        <w:jc w:val="left"/>
        <w:rPr>
          <w:rFonts w:ascii="Arial" w:hAnsi="Arial" w:cs="Arial"/>
          <w:b/>
          <w:color w:val="10263B"/>
          <w:sz w:val="24"/>
          <w:szCs w:val="24"/>
        </w:rPr>
      </w:pPr>
      <w:r w:rsidRPr="00593E3F">
        <w:rPr>
          <w:rFonts w:ascii="Arial" w:hAnsi="Arial" w:cs="Arial"/>
          <w:b/>
          <w:color w:val="10263B"/>
          <w:sz w:val="24"/>
          <w:szCs w:val="24"/>
        </w:rPr>
        <w:t>External advisers (for promotion to level 7 only)</w:t>
      </w:r>
    </w:p>
    <w:p w14:paraId="0B17FDFE" w14:textId="77777777" w:rsidR="00401FC3" w:rsidRPr="000E0666" w:rsidRDefault="00401FC3" w:rsidP="001D2D9C">
      <w:pPr>
        <w:jc w:val="left"/>
        <w:rPr>
          <w:b/>
          <w:bCs/>
          <w:i/>
          <w:sz w:val="20"/>
        </w:rPr>
      </w:pPr>
    </w:p>
    <w:p w14:paraId="3277AED9" w14:textId="6A7ACBEF" w:rsidR="00401FC3" w:rsidRPr="00E76F95" w:rsidRDefault="00593E3F" w:rsidP="001D2D9C">
      <w:pPr>
        <w:jc w:val="left"/>
        <w:rPr>
          <w:sz w:val="22"/>
          <w:szCs w:val="22"/>
        </w:rPr>
      </w:pPr>
      <w:r>
        <w:rPr>
          <w:sz w:val="22"/>
          <w:szCs w:val="22"/>
        </w:rPr>
        <w:t>For staff applying for promotion to level 7, t</w:t>
      </w:r>
      <w:r w:rsidR="00401FC3" w:rsidRPr="00E76F95">
        <w:rPr>
          <w:sz w:val="22"/>
          <w:szCs w:val="22"/>
        </w:rPr>
        <w:t>hree external advisers will be appointed</w:t>
      </w:r>
      <w:r>
        <w:rPr>
          <w:sz w:val="22"/>
          <w:szCs w:val="22"/>
        </w:rPr>
        <w:t xml:space="preserve"> to provide a reference in support of their application. Two will be nominated by the School/Department</w:t>
      </w:r>
      <w:r w:rsidR="00401FC3" w:rsidRPr="00E76F95">
        <w:rPr>
          <w:sz w:val="22"/>
          <w:szCs w:val="22"/>
        </w:rPr>
        <w:t>,</w:t>
      </w:r>
      <w:r w:rsidR="00BC079F">
        <w:rPr>
          <w:sz w:val="22"/>
          <w:szCs w:val="22"/>
        </w:rPr>
        <w:t xml:space="preserve"> and</w:t>
      </w:r>
      <w:r w:rsidR="00401FC3" w:rsidRPr="00E76F95">
        <w:rPr>
          <w:sz w:val="22"/>
          <w:szCs w:val="22"/>
        </w:rPr>
        <w:t xml:space="preserve"> one </w:t>
      </w:r>
      <w:r>
        <w:rPr>
          <w:sz w:val="22"/>
          <w:szCs w:val="22"/>
        </w:rPr>
        <w:t xml:space="preserve">will be </w:t>
      </w:r>
      <w:r w:rsidR="00401FC3" w:rsidRPr="00E76F95">
        <w:rPr>
          <w:sz w:val="22"/>
          <w:szCs w:val="22"/>
        </w:rPr>
        <w:t>nominated by the applicant</w:t>
      </w:r>
      <w:r w:rsidR="00401FC3">
        <w:rPr>
          <w:sz w:val="22"/>
          <w:szCs w:val="22"/>
        </w:rPr>
        <w:t xml:space="preserve">. </w:t>
      </w:r>
    </w:p>
    <w:p w14:paraId="347B8FCD" w14:textId="77777777" w:rsidR="00401FC3" w:rsidRPr="00E76F95" w:rsidRDefault="00401FC3" w:rsidP="001D2D9C">
      <w:pPr>
        <w:jc w:val="left"/>
        <w:rPr>
          <w:sz w:val="22"/>
          <w:szCs w:val="22"/>
        </w:rPr>
      </w:pPr>
    </w:p>
    <w:p w14:paraId="03488491" w14:textId="77777777" w:rsidR="00401FC3" w:rsidRPr="00E76F95" w:rsidRDefault="00401FC3" w:rsidP="001D2D9C">
      <w:pPr>
        <w:jc w:val="left"/>
        <w:rPr>
          <w:sz w:val="22"/>
          <w:szCs w:val="22"/>
        </w:rPr>
      </w:pPr>
      <w:r w:rsidRPr="00E76F95">
        <w:rPr>
          <w:sz w:val="22"/>
          <w:szCs w:val="22"/>
        </w:rPr>
        <w:t>The external adviser nominated by the applicant should be contacted informally by the applicant to gain their agreement to act in this capacity prior to the applicant submitting their application for promotion.</w:t>
      </w:r>
      <w:r>
        <w:rPr>
          <w:sz w:val="22"/>
          <w:szCs w:val="22"/>
        </w:rPr>
        <w:t xml:space="preserve"> Once agreement is sought, the applicant should include details of their nominated external adviser in their application form. </w:t>
      </w:r>
    </w:p>
    <w:p w14:paraId="10126108" w14:textId="77777777" w:rsidR="00401FC3" w:rsidRPr="00E76F95" w:rsidRDefault="00401FC3" w:rsidP="001D2D9C">
      <w:pPr>
        <w:jc w:val="left"/>
        <w:rPr>
          <w:sz w:val="22"/>
          <w:szCs w:val="22"/>
        </w:rPr>
      </w:pPr>
    </w:p>
    <w:p w14:paraId="2C2125C9" w14:textId="77777777" w:rsidR="00401FC3" w:rsidRPr="00950933" w:rsidRDefault="00401FC3" w:rsidP="001D2D9C">
      <w:pPr>
        <w:jc w:val="left"/>
        <w:rPr>
          <w:sz w:val="22"/>
          <w:szCs w:val="22"/>
        </w:rPr>
      </w:pPr>
      <w:r w:rsidRPr="000F6693">
        <w:rPr>
          <w:sz w:val="22"/>
          <w:szCs w:val="22"/>
        </w:rPr>
        <w:t>Heads of School</w:t>
      </w:r>
      <w:r>
        <w:t>/</w:t>
      </w:r>
      <w:r w:rsidRPr="0015305B">
        <w:rPr>
          <w:sz w:val="22"/>
          <w:szCs w:val="22"/>
        </w:rPr>
        <w:t>Department</w:t>
      </w:r>
      <w:r w:rsidRPr="000F6693">
        <w:rPr>
          <w:sz w:val="22"/>
          <w:szCs w:val="22"/>
        </w:rPr>
        <w:t xml:space="preserve"> will not discuss </w:t>
      </w:r>
      <w:r w:rsidRPr="00950933">
        <w:rPr>
          <w:sz w:val="22"/>
          <w:szCs w:val="22"/>
        </w:rPr>
        <w:t xml:space="preserve">the choice of School/Department-nominated advisers with the applicant, though the applicant may inform the Head of School/Department of any possible external adviser that should not be approached and the reason why.  </w:t>
      </w:r>
    </w:p>
    <w:p w14:paraId="0EB34B24" w14:textId="77777777" w:rsidR="00401FC3" w:rsidRDefault="00401FC3" w:rsidP="001D2D9C">
      <w:pPr>
        <w:jc w:val="left"/>
      </w:pPr>
    </w:p>
    <w:p w14:paraId="0F56639F" w14:textId="77777777" w:rsidR="00401FC3" w:rsidRDefault="00401FC3" w:rsidP="001D2D9C">
      <w:pPr>
        <w:jc w:val="left"/>
        <w:rPr>
          <w:sz w:val="22"/>
          <w:szCs w:val="22"/>
        </w:rPr>
      </w:pPr>
      <w:r w:rsidRPr="063EC08F">
        <w:rPr>
          <w:sz w:val="22"/>
          <w:szCs w:val="22"/>
        </w:rPr>
        <w:t>Appointment of the external advisers will be made on the recommendation of the Faculty Pro-Vice Chancellor (FPVC), whose decision is final as to who to put forward as External Adviser(s)</w:t>
      </w:r>
      <w:r>
        <w:rPr>
          <w:sz w:val="22"/>
          <w:szCs w:val="22"/>
        </w:rPr>
        <w:t>. A</w:t>
      </w:r>
      <w:r w:rsidRPr="063EC08F">
        <w:rPr>
          <w:sz w:val="22"/>
          <w:szCs w:val="22"/>
        </w:rPr>
        <w:t xml:space="preserve">pplicants will not be asked to provide </w:t>
      </w:r>
      <w:r>
        <w:rPr>
          <w:sz w:val="22"/>
          <w:szCs w:val="22"/>
        </w:rPr>
        <w:t xml:space="preserve">further </w:t>
      </w:r>
      <w:r w:rsidRPr="063EC08F">
        <w:rPr>
          <w:sz w:val="22"/>
          <w:szCs w:val="22"/>
        </w:rPr>
        <w:t xml:space="preserve">names of potential external advisers. The FPVCs are responsible for compiling the names and current contact details of a sufficient number of </w:t>
      </w:r>
      <w:r>
        <w:t>e</w:t>
      </w:r>
      <w:r w:rsidRPr="063EC08F">
        <w:rPr>
          <w:sz w:val="22"/>
          <w:szCs w:val="22"/>
        </w:rPr>
        <w:t xml:space="preserve">xternal </w:t>
      </w:r>
      <w:r>
        <w:t>a</w:t>
      </w:r>
      <w:r w:rsidRPr="063EC08F">
        <w:rPr>
          <w:sz w:val="22"/>
          <w:szCs w:val="22"/>
        </w:rPr>
        <w:t>dvisers to allow the Promotion Committee to select those who may be contacted for a reference. It must be made clear that the final selection of external advisers is made by the University, and the final choice of names proposed to the FPVC should be determined separately from the applicant, by the Head of School/Department.</w:t>
      </w:r>
      <w:r>
        <w:t xml:space="preserve"> </w:t>
      </w:r>
      <w:r w:rsidRPr="063EC08F">
        <w:rPr>
          <w:sz w:val="22"/>
          <w:szCs w:val="22"/>
        </w:rPr>
        <w:t xml:space="preserve">The Promotion Committee may, in exceptional circumstances, also seek external references additional to those noted above. </w:t>
      </w:r>
    </w:p>
    <w:p w14:paraId="00387F71" w14:textId="77777777" w:rsidR="00401FC3" w:rsidRPr="000F6693" w:rsidRDefault="00401FC3" w:rsidP="001D2D9C">
      <w:pPr>
        <w:jc w:val="left"/>
        <w:rPr>
          <w:sz w:val="22"/>
          <w:szCs w:val="22"/>
        </w:rPr>
      </w:pPr>
    </w:p>
    <w:p w14:paraId="127DB9C4" w14:textId="2F8ABC1D" w:rsidR="00401FC3" w:rsidRDefault="00401FC3" w:rsidP="001D2D9C">
      <w:pPr>
        <w:jc w:val="left"/>
        <w:rPr>
          <w:sz w:val="22"/>
          <w:szCs w:val="22"/>
        </w:rPr>
      </w:pPr>
      <w:r w:rsidRPr="000F6693">
        <w:rPr>
          <w:sz w:val="22"/>
          <w:szCs w:val="22"/>
        </w:rPr>
        <w:t>All advisers must be external to the University, including the one personally nominated by the applicant and ideally from different external institutions.</w:t>
      </w:r>
      <w:r>
        <w:t xml:space="preserve"> </w:t>
      </w:r>
      <w:r w:rsidRPr="000F6693">
        <w:rPr>
          <w:sz w:val="22"/>
          <w:szCs w:val="22"/>
        </w:rPr>
        <w:t xml:space="preserve">All referees must be able to comment objectively on the application and so within the previous five years must not have had any formal personal relationship with the applicant, such as line management responsibility, have had no input to the application, hold no personal relationship such as relative or close friend/collaborator, a co-author or joint grant holder of the applicant. Where it becomes clear that a referee is connected to the applicant, the </w:t>
      </w:r>
      <w:r w:rsidR="00A92EBF">
        <w:rPr>
          <w:sz w:val="22"/>
          <w:szCs w:val="22"/>
        </w:rPr>
        <w:t xml:space="preserve">Promotion </w:t>
      </w:r>
      <w:r w:rsidRPr="000F6693">
        <w:rPr>
          <w:sz w:val="22"/>
          <w:szCs w:val="22"/>
        </w:rPr>
        <w:t>Committee has the discretion to seek a further independent reference.</w:t>
      </w:r>
    </w:p>
    <w:p w14:paraId="7C4C5204" w14:textId="77777777" w:rsidR="00401FC3" w:rsidRPr="000F6693" w:rsidRDefault="00401FC3" w:rsidP="001D2D9C">
      <w:pPr>
        <w:jc w:val="left"/>
        <w:rPr>
          <w:sz w:val="22"/>
          <w:szCs w:val="22"/>
        </w:rPr>
      </w:pPr>
    </w:p>
    <w:p w14:paraId="25B896B2" w14:textId="77777777" w:rsidR="00332371" w:rsidRDefault="00401FC3" w:rsidP="001D2D9C">
      <w:pPr>
        <w:jc w:val="left"/>
        <w:rPr>
          <w:sz w:val="22"/>
          <w:szCs w:val="22"/>
        </w:rPr>
      </w:pPr>
      <w:r w:rsidRPr="063EC08F">
        <w:rPr>
          <w:sz w:val="22"/>
          <w:szCs w:val="22"/>
        </w:rPr>
        <w:t>External advisers should, where possible, be from Russell Group universities (or their equivalent abroad) and of major academic standing in the field and a</w:t>
      </w:r>
      <w:r w:rsidRPr="063EC08F">
        <w:rPr>
          <w:color w:val="FF0000"/>
          <w:sz w:val="22"/>
          <w:szCs w:val="22"/>
        </w:rPr>
        <w:t xml:space="preserve"> </w:t>
      </w:r>
      <w:r w:rsidRPr="063EC08F">
        <w:rPr>
          <w:sz w:val="22"/>
          <w:szCs w:val="22"/>
        </w:rPr>
        <w:t xml:space="preserve">sufficient number must be from UK institutions to allow the selection of at least one UK based external adviser. It is, however, understood that external advisers of high standing from other institutions may be nominated where appropriate, for example to match closely the area of expertise of the applicant. External advisers from outside UK Higher Education Institutions should normally only be used where they have a good understanding of the UK Higher Education system. Consideration could be given to U21 Institutions. External advisers should normally be of Professorial (level 7) status. If this is not the case, then justification of this must be supplied by the FPVC to the Promotion Committee. </w:t>
      </w:r>
    </w:p>
    <w:p w14:paraId="16F36C68" w14:textId="6A930876" w:rsidR="00401FC3" w:rsidRDefault="00401FC3" w:rsidP="001D2D9C">
      <w:pPr>
        <w:jc w:val="left"/>
        <w:rPr>
          <w:sz w:val="22"/>
          <w:szCs w:val="22"/>
        </w:rPr>
      </w:pPr>
      <w:r w:rsidRPr="063EC08F">
        <w:rPr>
          <w:sz w:val="22"/>
          <w:szCs w:val="22"/>
        </w:rPr>
        <w:t>To ensure equivalence, if an external adviser is drawn from systems using the North American system of academic titles, the precise rank, i.e. assistant, associate or full professor, must be stated. External advisers will also be asked to declare any interest with regard to the applicant.</w:t>
      </w:r>
    </w:p>
    <w:p w14:paraId="13928EB3" w14:textId="77777777" w:rsidR="00401FC3" w:rsidRPr="000F6693" w:rsidRDefault="00401FC3" w:rsidP="001D2D9C">
      <w:pPr>
        <w:jc w:val="left"/>
        <w:rPr>
          <w:sz w:val="22"/>
          <w:szCs w:val="22"/>
        </w:rPr>
      </w:pPr>
    </w:p>
    <w:p w14:paraId="7879365A" w14:textId="77777777" w:rsidR="00401FC3" w:rsidRPr="003A3E7B" w:rsidRDefault="00401FC3" w:rsidP="001D2D9C">
      <w:pPr>
        <w:jc w:val="left"/>
        <w:rPr>
          <w:sz w:val="22"/>
          <w:szCs w:val="22"/>
        </w:rPr>
      </w:pPr>
      <w:r w:rsidRPr="7A17D38C">
        <w:rPr>
          <w:sz w:val="22"/>
          <w:szCs w:val="22"/>
        </w:rPr>
        <w:t>All such references will be sought by the Director of Human Resources or nominee, on behalf of the Committee. Referees will be issued with the University’s Academic Promotion Criteria and are invited to comment upon the extent to which they feel the applicant meets the criteria.</w:t>
      </w:r>
    </w:p>
    <w:p w14:paraId="16B7B8AA" w14:textId="77777777" w:rsidR="00B21B39" w:rsidRDefault="00B21B39" w:rsidP="001D2D9C">
      <w:pPr>
        <w:jc w:val="left"/>
      </w:pPr>
    </w:p>
    <w:sectPr w:rsidR="00B21B39" w:rsidSect="00332371">
      <w:headerReference w:type="default"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D0E0D" w14:textId="77777777" w:rsidR="00336758" w:rsidRDefault="00336758" w:rsidP="000D27D3">
      <w:r>
        <w:separator/>
      </w:r>
    </w:p>
  </w:endnote>
  <w:endnote w:type="continuationSeparator" w:id="0">
    <w:p w14:paraId="45C727EE" w14:textId="77777777" w:rsidR="00336758" w:rsidRDefault="00336758" w:rsidP="000D27D3">
      <w:r>
        <w:continuationSeparator/>
      </w:r>
    </w:p>
  </w:endnote>
  <w:endnote w:type="continuationNotice" w:id="1">
    <w:p w14:paraId="19846E21" w14:textId="77777777" w:rsidR="00336758" w:rsidRDefault="00336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092236"/>
      <w:docPartObj>
        <w:docPartGallery w:val="Page Numbers (Bottom of Page)"/>
        <w:docPartUnique/>
      </w:docPartObj>
    </w:sdtPr>
    <w:sdtEndPr>
      <w:rPr>
        <w:noProof/>
      </w:rPr>
    </w:sdtEndPr>
    <w:sdtContent>
      <w:p w14:paraId="08FDA757" w14:textId="4FF27FA8" w:rsidR="00233C84" w:rsidRDefault="00233C84">
        <w:pPr>
          <w:pStyle w:val="Footer"/>
          <w:jc w:val="right"/>
        </w:pPr>
        <w:r>
          <w:fldChar w:fldCharType="begin"/>
        </w:r>
        <w:r>
          <w:instrText xml:space="preserve"> PAGE   \* MERGEFORMAT </w:instrText>
        </w:r>
        <w:r>
          <w:fldChar w:fldCharType="separate"/>
        </w:r>
        <w:r w:rsidR="00292E09">
          <w:rPr>
            <w:noProof/>
          </w:rPr>
          <w:t>5</w:t>
        </w:r>
        <w:r>
          <w:rPr>
            <w:noProof/>
          </w:rPr>
          <w:fldChar w:fldCharType="end"/>
        </w:r>
      </w:p>
    </w:sdtContent>
  </w:sdt>
  <w:p w14:paraId="2E37A0B5" w14:textId="77777777" w:rsidR="00233C84" w:rsidRDefault="00233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08B07" w14:textId="77777777" w:rsidR="00336758" w:rsidRDefault="00336758" w:rsidP="000D27D3">
      <w:r>
        <w:separator/>
      </w:r>
    </w:p>
  </w:footnote>
  <w:footnote w:type="continuationSeparator" w:id="0">
    <w:p w14:paraId="0B3AE6A3" w14:textId="77777777" w:rsidR="00336758" w:rsidRDefault="00336758" w:rsidP="000D27D3">
      <w:r>
        <w:continuationSeparator/>
      </w:r>
    </w:p>
  </w:footnote>
  <w:footnote w:type="continuationNotice" w:id="1">
    <w:p w14:paraId="6347F8C3" w14:textId="77777777" w:rsidR="00336758" w:rsidRDefault="003367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2" w:type="dxa"/>
      <w:jc w:val="center"/>
      <w:tblLayout w:type="fixed"/>
      <w:tblLook w:val="0000" w:firstRow="0" w:lastRow="0" w:firstColumn="0" w:lastColumn="0" w:noHBand="0" w:noVBand="0"/>
    </w:tblPr>
    <w:tblGrid>
      <w:gridCol w:w="5812"/>
      <w:gridCol w:w="360"/>
      <w:gridCol w:w="3680"/>
    </w:tblGrid>
    <w:tr w:rsidR="000D27D3" w:rsidRPr="00171923" w14:paraId="39F67F63" w14:textId="77777777" w:rsidTr="00EF4CB2">
      <w:trPr>
        <w:jc w:val="center"/>
      </w:trPr>
      <w:tc>
        <w:tcPr>
          <w:tcW w:w="5812" w:type="dxa"/>
          <w:tcBorders>
            <w:bottom w:val="single" w:sz="4" w:space="0" w:color="auto"/>
          </w:tcBorders>
        </w:tcPr>
        <w:p w14:paraId="60045051" w14:textId="0BF795B5" w:rsidR="000D27D3" w:rsidRPr="00F309BB" w:rsidRDefault="00E52AA3" w:rsidP="000D27D3">
          <w:pPr>
            <w:rPr>
              <w:rFonts w:ascii="Verdana" w:hAnsi="Verdana"/>
              <w:sz w:val="20"/>
            </w:rPr>
          </w:pPr>
          <w:r w:rsidRPr="003A7562">
            <w:rPr>
              <w:noProof/>
            </w:rPr>
            <w:drawing>
              <wp:inline distT="0" distB="0" distL="0" distR="0" wp14:anchorId="3437005E" wp14:editId="3D15F828">
                <wp:extent cx="2156892" cy="800034"/>
                <wp:effectExtent l="0" t="0" r="0" b="635"/>
                <wp:docPr id="817794274" name="Picture 81779427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6740" cy="814815"/>
                        </a:xfrm>
                        <a:prstGeom prst="rect">
                          <a:avLst/>
                        </a:prstGeom>
                        <a:noFill/>
                        <a:ln>
                          <a:noFill/>
                        </a:ln>
                      </pic:spPr>
                    </pic:pic>
                  </a:graphicData>
                </a:graphic>
              </wp:inline>
            </w:drawing>
          </w:r>
        </w:p>
        <w:p w14:paraId="703C210C" w14:textId="77777777" w:rsidR="000D27D3" w:rsidRPr="00F309BB" w:rsidRDefault="000D27D3" w:rsidP="000D27D3">
          <w:pPr>
            <w:jc w:val="left"/>
            <w:rPr>
              <w:rFonts w:ascii="Verdana" w:hAnsi="Verdana"/>
              <w:sz w:val="20"/>
            </w:rPr>
          </w:pPr>
        </w:p>
      </w:tc>
      <w:tc>
        <w:tcPr>
          <w:tcW w:w="360" w:type="dxa"/>
          <w:tcBorders>
            <w:bottom w:val="single" w:sz="4" w:space="0" w:color="auto"/>
          </w:tcBorders>
        </w:tcPr>
        <w:p w14:paraId="4DCCB7F4" w14:textId="77777777" w:rsidR="000D27D3" w:rsidRPr="00F309BB" w:rsidRDefault="000D27D3" w:rsidP="000D27D3">
          <w:pPr>
            <w:jc w:val="center"/>
            <w:rPr>
              <w:rFonts w:ascii="Verdana" w:hAnsi="Verdana"/>
              <w:sz w:val="20"/>
            </w:rPr>
          </w:pPr>
        </w:p>
      </w:tc>
      <w:tc>
        <w:tcPr>
          <w:tcW w:w="3680" w:type="dxa"/>
          <w:tcBorders>
            <w:bottom w:val="single" w:sz="4" w:space="0" w:color="auto"/>
          </w:tcBorders>
        </w:tcPr>
        <w:p w14:paraId="6DF8198B" w14:textId="77777777" w:rsidR="000D27D3" w:rsidRPr="00171923" w:rsidRDefault="000D27D3" w:rsidP="00E52AA3">
          <w:pPr>
            <w:rPr>
              <w:b/>
              <w:snapToGrid w:val="0"/>
              <w:sz w:val="20"/>
            </w:rPr>
          </w:pPr>
        </w:p>
        <w:p w14:paraId="50E7B127" w14:textId="77777777" w:rsidR="000D27D3" w:rsidRDefault="000D27D3" w:rsidP="000D27D3">
          <w:pPr>
            <w:jc w:val="right"/>
            <w:rPr>
              <w:b/>
              <w:snapToGrid w:val="0"/>
              <w:sz w:val="20"/>
            </w:rPr>
          </w:pPr>
          <w:r w:rsidRPr="00171923">
            <w:rPr>
              <w:b/>
              <w:snapToGrid w:val="0"/>
              <w:sz w:val="20"/>
            </w:rPr>
            <w:t xml:space="preserve">Academic Promotion </w:t>
          </w:r>
          <w:r>
            <w:rPr>
              <w:b/>
              <w:snapToGrid w:val="0"/>
              <w:sz w:val="20"/>
            </w:rPr>
            <w:t xml:space="preserve">Guidance </w:t>
          </w:r>
        </w:p>
        <w:p w14:paraId="1B81EC5D" w14:textId="77777777" w:rsidR="00332371" w:rsidRDefault="000D27D3" w:rsidP="000D27D3">
          <w:pPr>
            <w:jc w:val="right"/>
            <w:rPr>
              <w:b/>
              <w:snapToGrid w:val="0"/>
              <w:sz w:val="20"/>
            </w:rPr>
          </w:pPr>
          <w:r>
            <w:rPr>
              <w:b/>
              <w:snapToGrid w:val="0"/>
              <w:sz w:val="20"/>
            </w:rPr>
            <w:t>for Applicants</w:t>
          </w:r>
        </w:p>
        <w:p w14:paraId="61F8E44D" w14:textId="07030FCD" w:rsidR="000D27D3" w:rsidRDefault="000D27D3" w:rsidP="000D27D3">
          <w:pPr>
            <w:jc w:val="right"/>
            <w:rPr>
              <w:b/>
              <w:snapToGrid w:val="0"/>
              <w:sz w:val="20"/>
            </w:rPr>
          </w:pPr>
          <w:r>
            <w:rPr>
              <w:b/>
              <w:snapToGrid w:val="0"/>
              <w:sz w:val="20"/>
            </w:rPr>
            <w:t xml:space="preserve"> </w:t>
          </w:r>
        </w:p>
        <w:p w14:paraId="245B5316" w14:textId="77777777" w:rsidR="000D27D3" w:rsidRPr="00171923" w:rsidRDefault="000D27D3" w:rsidP="000D27D3">
          <w:pPr>
            <w:jc w:val="right"/>
            <w:rPr>
              <w:b/>
              <w:snapToGrid w:val="0"/>
              <w:sz w:val="20"/>
            </w:rPr>
          </w:pPr>
          <w:r w:rsidRPr="00171923">
            <w:rPr>
              <w:b/>
              <w:snapToGrid w:val="0"/>
              <w:sz w:val="20"/>
            </w:rPr>
            <w:t>Version 1.0</w:t>
          </w:r>
        </w:p>
        <w:p w14:paraId="5E8F4928" w14:textId="77777777" w:rsidR="000D27D3" w:rsidRPr="00E52AA3" w:rsidRDefault="000D27D3" w:rsidP="000D27D3">
          <w:pPr>
            <w:jc w:val="right"/>
            <w:rPr>
              <w:b/>
              <w:snapToGrid w:val="0"/>
              <w:sz w:val="20"/>
            </w:rPr>
          </w:pPr>
          <w:r w:rsidRPr="00171923">
            <w:rPr>
              <w:b/>
              <w:snapToGrid w:val="0"/>
              <w:sz w:val="20"/>
            </w:rPr>
            <w:t>Last amende</w:t>
          </w:r>
          <w:r>
            <w:rPr>
              <w:b/>
              <w:snapToGrid w:val="0"/>
              <w:sz w:val="20"/>
            </w:rPr>
            <w:t>d: June 2023</w:t>
          </w:r>
        </w:p>
      </w:tc>
    </w:tr>
  </w:tbl>
  <w:p w14:paraId="0C59AAB1" w14:textId="77777777" w:rsidR="000D27D3" w:rsidRDefault="000D2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E21CA"/>
    <w:multiLevelType w:val="hybridMultilevel"/>
    <w:tmpl w:val="0E28718A"/>
    <w:lvl w:ilvl="0" w:tplc="5D34EBE8">
      <w:start w:val="1"/>
      <w:numFmt w:val="decimal"/>
      <w:lvlText w:val="%1."/>
      <w:lvlJc w:val="left"/>
      <w:pPr>
        <w:ind w:left="360" w:hanging="360"/>
      </w:pPr>
      <w:rPr>
        <w:rFonts w:hint="default"/>
        <w:color w:val="10263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676C4F"/>
    <w:multiLevelType w:val="hybridMultilevel"/>
    <w:tmpl w:val="F86E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A7"/>
    <w:rsid w:val="00031F16"/>
    <w:rsid w:val="000333AD"/>
    <w:rsid w:val="0005157C"/>
    <w:rsid w:val="000A45ED"/>
    <w:rsid w:val="000B0F16"/>
    <w:rsid w:val="000D27D3"/>
    <w:rsid w:val="000F5E19"/>
    <w:rsid w:val="001152EA"/>
    <w:rsid w:val="00126029"/>
    <w:rsid w:val="001779AF"/>
    <w:rsid w:val="001C5B38"/>
    <w:rsid w:val="001C7FAD"/>
    <w:rsid w:val="001D2D9C"/>
    <w:rsid w:val="001D36FB"/>
    <w:rsid w:val="00233C84"/>
    <w:rsid w:val="0023CD4F"/>
    <w:rsid w:val="00253630"/>
    <w:rsid w:val="00292E09"/>
    <w:rsid w:val="002E1F04"/>
    <w:rsid w:val="002F2153"/>
    <w:rsid w:val="002F2C94"/>
    <w:rsid w:val="00332371"/>
    <w:rsid w:val="00336758"/>
    <w:rsid w:val="00363F80"/>
    <w:rsid w:val="00381957"/>
    <w:rsid w:val="00390D77"/>
    <w:rsid w:val="00401FC3"/>
    <w:rsid w:val="00414244"/>
    <w:rsid w:val="004332E0"/>
    <w:rsid w:val="004461B8"/>
    <w:rsid w:val="00485E92"/>
    <w:rsid w:val="004902A3"/>
    <w:rsid w:val="00490868"/>
    <w:rsid w:val="00497207"/>
    <w:rsid w:val="004A1B18"/>
    <w:rsid w:val="004C2ECD"/>
    <w:rsid w:val="00502A75"/>
    <w:rsid w:val="00511BCD"/>
    <w:rsid w:val="00541D6F"/>
    <w:rsid w:val="0058532A"/>
    <w:rsid w:val="00591A39"/>
    <w:rsid w:val="00593E3F"/>
    <w:rsid w:val="005C5E13"/>
    <w:rsid w:val="005D41EE"/>
    <w:rsid w:val="0060311D"/>
    <w:rsid w:val="0060778C"/>
    <w:rsid w:val="00626654"/>
    <w:rsid w:val="00655D4C"/>
    <w:rsid w:val="00656FBB"/>
    <w:rsid w:val="006E1B05"/>
    <w:rsid w:val="006E53B6"/>
    <w:rsid w:val="006F734E"/>
    <w:rsid w:val="007177C5"/>
    <w:rsid w:val="0078043A"/>
    <w:rsid w:val="007806B5"/>
    <w:rsid w:val="0079459F"/>
    <w:rsid w:val="007D7D55"/>
    <w:rsid w:val="007E29F0"/>
    <w:rsid w:val="008221FD"/>
    <w:rsid w:val="00847960"/>
    <w:rsid w:val="00870682"/>
    <w:rsid w:val="008861CE"/>
    <w:rsid w:val="00894B3C"/>
    <w:rsid w:val="008B5E05"/>
    <w:rsid w:val="009269FE"/>
    <w:rsid w:val="00932B00"/>
    <w:rsid w:val="00946B28"/>
    <w:rsid w:val="00996E63"/>
    <w:rsid w:val="009A3C68"/>
    <w:rsid w:val="009A6B02"/>
    <w:rsid w:val="009B2A6E"/>
    <w:rsid w:val="009C7C50"/>
    <w:rsid w:val="00A92EBF"/>
    <w:rsid w:val="00AE46D7"/>
    <w:rsid w:val="00AF2E11"/>
    <w:rsid w:val="00AF5936"/>
    <w:rsid w:val="00B04A78"/>
    <w:rsid w:val="00B1478D"/>
    <w:rsid w:val="00B21B39"/>
    <w:rsid w:val="00B70193"/>
    <w:rsid w:val="00B8369E"/>
    <w:rsid w:val="00BC079F"/>
    <w:rsid w:val="00BF3439"/>
    <w:rsid w:val="00C137AE"/>
    <w:rsid w:val="00C1479F"/>
    <w:rsid w:val="00C670A9"/>
    <w:rsid w:val="00CA0650"/>
    <w:rsid w:val="00CA545C"/>
    <w:rsid w:val="00CE5C64"/>
    <w:rsid w:val="00CF5F95"/>
    <w:rsid w:val="00D74DBB"/>
    <w:rsid w:val="00D80263"/>
    <w:rsid w:val="00D824A9"/>
    <w:rsid w:val="00DA658B"/>
    <w:rsid w:val="00DB6FDD"/>
    <w:rsid w:val="00DE5083"/>
    <w:rsid w:val="00E01BA7"/>
    <w:rsid w:val="00E04827"/>
    <w:rsid w:val="00E077E0"/>
    <w:rsid w:val="00E47536"/>
    <w:rsid w:val="00E52AA3"/>
    <w:rsid w:val="00E62F7F"/>
    <w:rsid w:val="00EA74CF"/>
    <w:rsid w:val="00EB7307"/>
    <w:rsid w:val="00EE6C36"/>
    <w:rsid w:val="00F006FA"/>
    <w:rsid w:val="00F00CF7"/>
    <w:rsid w:val="00F458D2"/>
    <w:rsid w:val="00F468A8"/>
    <w:rsid w:val="00F72823"/>
    <w:rsid w:val="00F86B4E"/>
    <w:rsid w:val="00F94E1F"/>
    <w:rsid w:val="00FE2FC5"/>
    <w:rsid w:val="00FF6D19"/>
    <w:rsid w:val="00FF7443"/>
    <w:rsid w:val="015ABDD5"/>
    <w:rsid w:val="02F14FA1"/>
    <w:rsid w:val="06B5297B"/>
    <w:rsid w:val="07D1002B"/>
    <w:rsid w:val="109377DB"/>
    <w:rsid w:val="184D6C3A"/>
    <w:rsid w:val="1851F529"/>
    <w:rsid w:val="1B3C294E"/>
    <w:rsid w:val="1B879DAD"/>
    <w:rsid w:val="239EDD08"/>
    <w:rsid w:val="24E2FD3F"/>
    <w:rsid w:val="3AA72CC2"/>
    <w:rsid w:val="3C42FD23"/>
    <w:rsid w:val="417EE81D"/>
    <w:rsid w:val="4F7CE47A"/>
    <w:rsid w:val="52A9131F"/>
    <w:rsid w:val="538D944B"/>
    <w:rsid w:val="55E37ADE"/>
    <w:rsid w:val="58EDA812"/>
    <w:rsid w:val="5B7F7DD3"/>
    <w:rsid w:val="5B7FE27A"/>
    <w:rsid w:val="61EE0EFA"/>
    <w:rsid w:val="68AE8929"/>
    <w:rsid w:val="71C61350"/>
    <w:rsid w:val="7361E3B1"/>
    <w:rsid w:val="76171E79"/>
    <w:rsid w:val="78383421"/>
    <w:rsid w:val="794EBF3B"/>
    <w:rsid w:val="7FE4C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3F2C"/>
  <w15:chartTrackingRefBased/>
  <w15:docId w15:val="{75C437AA-249E-4E29-8C4B-770F0A90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868"/>
    <w:pPr>
      <w:spacing w:after="0" w:line="240" w:lineRule="auto"/>
      <w:jc w:val="both"/>
    </w:pPr>
    <w:rPr>
      <w:rFonts w:ascii="Arial" w:eastAsia="Times New Roman" w:hAnsi="Arial" w:cs="Arial"/>
      <w:kern w:val="0"/>
      <w:sz w:val="24"/>
      <w:szCs w:val="24"/>
      <w:lang w:eastAsia="en-GB"/>
      <w14:ligatures w14:val="none"/>
    </w:rPr>
  </w:style>
  <w:style w:type="paragraph" w:styleId="Heading1">
    <w:name w:val="heading 1"/>
    <w:basedOn w:val="Normal"/>
    <w:next w:val="Normal"/>
    <w:link w:val="Heading1Char"/>
    <w:uiPriority w:val="9"/>
    <w:qFormat/>
    <w:rsid w:val="007177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08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720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868"/>
    <w:rPr>
      <w:rFonts w:asciiTheme="majorHAnsi" w:eastAsiaTheme="majorEastAsia" w:hAnsiTheme="majorHAnsi" w:cstheme="majorBidi"/>
      <w:color w:val="2F5496" w:themeColor="accent1" w:themeShade="BF"/>
      <w:kern w:val="0"/>
      <w:sz w:val="26"/>
      <w:szCs w:val="26"/>
      <w:lang w:eastAsia="en-GB"/>
      <w14:ligatures w14:val="none"/>
    </w:rPr>
  </w:style>
  <w:style w:type="character" w:customStyle="1" w:styleId="normaltextrun">
    <w:name w:val="normaltextrun"/>
    <w:basedOn w:val="DefaultParagraphFont"/>
    <w:rsid w:val="00490868"/>
  </w:style>
  <w:style w:type="character" w:customStyle="1" w:styleId="Heading3Char">
    <w:name w:val="Heading 3 Char"/>
    <w:basedOn w:val="DefaultParagraphFont"/>
    <w:link w:val="Heading3"/>
    <w:uiPriority w:val="9"/>
    <w:rsid w:val="00497207"/>
    <w:rPr>
      <w:rFonts w:asciiTheme="majorHAnsi" w:eastAsiaTheme="majorEastAsia" w:hAnsiTheme="majorHAnsi" w:cstheme="majorBidi"/>
      <w:color w:val="1F3763" w:themeColor="accent1" w:themeShade="7F"/>
      <w:kern w:val="0"/>
      <w:sz w:val="24"/>
      <w:szCs w:val="24"/>
      <w:lang w:eastAsia="en-GB"/>
      <w14:ligatures w14:val="none"/>
    </w:rPr>
  </w:style>
  <w:style w:type="character" w:styleId="Hyperlink">
    <w:name w:val="Hyperlink"/>
    <w:basedOn w:val="DefaultParagraphFont"/>
    <w:rsid w:val="00497207"/>
    <w:rPr>
      <w:color w:val="0000FF"/>
      <w:u w:val="single"/>
    </w:rPr>
  </w:style>
  <w:style w:type="paragraph" w:styleId="ListParagraph">
    <w:name w:val="List Paragraph"/>
    <w:basedOn w:val="Normal"/>
    <w:uiPriority w:val="34"/>
    <w:qFormat/>
    <w:rsid w:val="00497207"/>
    <w:pPr>
      <w:ind w:left="720"/>
      <w:contextualSpacing/>
    </w:pPr>
  </w:style>
  <w:style w:type="character" w:customStyle="1" w:styleId="ui-provider">
    <w:name w:val="ui-provider"/>
    <w:basedOn w:val="DefaultParagraphFont"/>
    <w:rsid w:val="00497207"/>
  </w:style>
  <w:style w:type="table" w:styleId="TableGrid">
    <w:name w:val="Table Grid"/>
    <w:basedOn w:val="TableNormal"/>
    <w:rsid w:val="00253630"/>
    <w:pPr>
      <w:spacing w:after="0" w:line="240" w:lineRule="auto"/>
    </w:pPr>
    <w:rPr>
      <w:rFonts w:ascii="Times" w:eastAsia="Times" w:hAnsi="Times"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6C36"/>
    <w:rPr>
      <w:sz w:val="16"/>
      <w:szCs w:val="16"/>
    </w:rPr>
  </w:style>
  <w:style w:type="paragraph" w:styleId="CommentText">
    <w:name w:val="annotation text"/>
    <w:basedOn w:val="Normal"/>
    <w:link w:val="CommentTextChar"/>
    <w:uiPriority w:val="99"/>
    <w:unhideWhenUsed/>
    <w:rsid w:val="00EE6C36"/>
    <w:rPr>
      <w:sz w:val="20"/>
      <w:szCs w:val="20"/>
    </w:rPr>
  </w:style>
  <w:style w:type="character" w:customStyle="1" w:styleId="CommentTextChar">
    <w:name w:val="Comment Text Char"/>
    <w:basedOn w:val="DefaultParagraphFont"/>
    <w:link w:val="CommentText"/>
    <w:uiPriority w:val="99"/>
    <w:rsid w:val="00EE6C36"/>
    <w:rPr>
      <w:rFonts w:ascii="Arial" w:eastAsia="Times New Roman" w:hAnsi="Arial" w:cs="Arial"/>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CF5F95"/>
    <w:rPr>
      <w:b/>
      <w:bCs/>
    </w:rPr>
  </w:style>
  <w:style w:type="character" w:customStyle="1" w:styleId="CommentSubjectChar">
    <w:name w:val="Comment Subject Char"/>
    <w:basedOn w:val="CommentTextChar"/>
    <w:link w:val="CommentSubject"/>
    <w:uiPriority w:val="99"/>
    <w:semiHidden/>
    <w:rsid w:val="00CF5F95"/>
    <w:rPr>
      <w:rFonts w:ascii="Arial" w:eastAsia="Times New Roman" w:hAnsi="Arial" w:cs="Arial"/>
      <w:b/>
      <w:bCs/>
      <w:kern w:val="0"/>
      <w:sz w:val="20"/>
      <w:szCs w:val="20"/>
      <w:lang w:eastAsia="en-GB"/>
      <w14:ligatures w14:val="none"/>
    </w:rPr>
  </w:style>
  <w:style w:type="paragraph" w:styleId="Header">
    <w:name w:val="header"/>
    <w:basedOn w:val="Normal"/>
    <w:link w:val="HeaderChar"/>
    <w:uiPriority w:val="99"/>
    <w:unhideWhenUsed/>
    <w:rsid w:val="000D27D3"/>
    <w:pPr>
      <w:tabs>
        <w:tab w:val="center" w:pos="4513"/>
        <w:tab w:val="right" w:pos="9026"/>
      </w:tabs>
    </w:pPr>
  </w:style>
  <w:style w:type="character" w:customStyle="1" w:styleId="HeaderChar">
    <w:name w:val="Header Char"/>
    <w:basedOn w:val="DefaultParagraphFont"/>
    <w:link w:val="Header"/>
    <w:uiPriority w:val="99"/>
    <w:rsid w:val="000D27D3"/>
    <w:rPr>
      <w:rFonts w:ascii="Arial" w:eastAsia="Times New Roman" w:hAnsi="Arial" w:cs="Arial"/>
      <w:kern w:val="0"/>
      <w:sz w:val="24"/>
      <w:szCs w:val="24"/>
      <w:lang w:eastAsia="en-GB"/>
      <w14:ligatures w14:val="none"/>
    </w:rPr>
  </w:style>
  <w:style w:type="paragraph" w:styleId="Footer">
    <w:name w:val="footer"/>
    <w:basedOn w:val="Normal"/>
    <w:link w:val="FooterChar"/>
    <w:uiPriority w:val="99"/>
    <w:unhideWhenUsed/>
    <w:rsid w:val="000D27D3"/>
    <w:pPr>
      <w:tabs>
        <w:tab w:val="center" w:pos="4513"/>
        <w:tab w:val="right" w:pos="9026"/>
      </w:tabs>
    </w:pPr>
  </w:style>
  <w:style w:type="character" w:customStyle="1" w:styleId="FooterChar">
    <w:name w:val="Footer Char"/>
    <w:basedOn w:val="DefaultParagraphFont"/>
    <w:link w:val="Footer"/>
    <w:uiPriority w:val="99"/>
    <w:rsid w:val="000D27D3"/>
    <w:rPr>
      <w:rFonts w:ascii="Arial" w:eastAsia="Times New Roman" w:hAnsi="Arial" w:cs="Arial"/>
      <w:kern w:val="0"/>
      <w:sz w:val="24"/>
      <w:szCs w:val="24"/>
      <w:lang w:eastAsia="en-GB"/>
      <w14:ligatures w14:val="none"/>
    </w:rPr>
  </w:style>
  <w:style w:type="character" w:customStyle="1" w:styleId="Heading1Char">
    <w:name w:val="Heading 1 Char"/>
    <w:basedOn w:val="DefaultParagraphFont"/>
    <w:link w:val="Heading1"/>
    <w:uiPriority w:val="9"/>
    <w:rsid w:val="007177C5"/>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UnresolvedMention">
    <w:name w:val="Unresolved Mention"/>
    <w:basedOn w:val="DefaultParagraphFont"/>
    <w:uiPriority w:val="99"/>
    <w:semiHidden/>
    <w:unhideWhenUsed/>
    <w:rsid w:val="00F72823"/>
    <w:rPr>
      <w:color w:val="605E5C"/>
      <w:shd w:val="clear" w:color="auto" w:fill="E1DFDD"/>
    </w:rPr>
  </w:style>
  <w:style w:type="character" w:customStyle="1" w:styleId="Mention">
    <w:name w:val="Mention"/>
    <w:basedOn w:val="DefaultParagraphFont"/>
    <w:uiPriority w:val="99"/>
    <w:unhideWhenUsed/>
    <w:rsid w:val="00401FC3"/>
    <w:rPr>
      <w:color w:val="2B579A"/>
      <w:shd w:val="clear" w:color="auto" w:fill="E1DFDD"/>
    </w:rPr>
  </w:style>
  <w:style w:type="paragraph" w:styleId="NoSpacing">
    <w:name w:val="No Spacing"/>
    <w:uiPriority w:val="1"/>
    <w:qFormat/>
    <w:rsid w:val="00DE5083"/>
    <w:pPr>
      <w:spacing w:after="0" w:line="240" w:lineRule="auto"/>
    </w:pPr>
    <w:rPr>
      <w:rFonts w:ascii="Verdana" w:eastAsiaTheme="minorEastAsia" w:hAnsi="Verdana"/>
      <w:kern w:val="0"/>
      <w:sz w:val="20"/>
      <w:lang w:eastAsia="zh-CN"/>
      <w14:ligatures w14:val="none"/>
    </w:rPr>
  </w:style>
  <w:style w:type="character" w:styleId="FollowedHyperlink">
    <w:name w:val="FollowedHyperlink"/>
    <w:basedOn w:val="DefaultParagraphFont"/>
    <w:uiPriority w:val="99"/>
    <w:semiHidden/>
    <w:unhideWhenUsed/>
    <w:rsid w:val="00AF5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ttingham.ac.uk/hr/guidesandsupport/promotionandregrading/promotion/rt-level-4-staff-who-have-been-awarded-personal-fellowships.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ttingham.ac.uk/strategy/value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ottingham.ac.uk/hr/guidesandsupport/pay/salaryscales/index.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ttingham.ac.uk/strategy/home.aspx" TargetMode="External"/><Relationship Id="rId5" Type="http://schemas.openxmlformats.org/officeDocument/2006/relationships/styles" Target="styles.xml"/><Relationship Id="rId15" Type="http://schemas.openxmlformats.org/officeDocument/2006/relationships/hyperlink" Target="https://www.nottingham.ac.uk/strategy/values.aspx" TargetMode="External"/><Relationship Id="rId10" Type="http://schemas.openxmlformats.org/officeDocument/2006/relationships/hyperlink" Target="https://www.nottingham.ac.uk/hr/guidesandsupport/promotionandregrading/promotion/index.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ttingham.ac.uk/hr/guidesandsupport/jobfamilies/rt-career-change-pathway/rt-career-change-pathwa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899878-1937-4855-a27d-60adc88b93e6" xsi:nil="true"/>
    <lcf76f155ced4ddcb4097134ff3c332f xmlns="ddb71f1d-6b45-4999-aa0f-9d7d0abd2c3a">
      <Terms xmlns="http://schemas.microsoft.com/office/infopath/2007/PartnerControls"/>
    </lcf76f155ced4ddcb4097134ff3c332f>
    <SharedWithUsers xmlns="dc899878-1937-4855-a27d-60adc88b93e6">
      <UserInfo>
        <DisplayName>Zoe Goodwin (staff)</DisplayName>
        <AccountId>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3B4B9491E8CF4EA40D66F2F2E6CCB7" ma:contentTypeVersion="15" ma:contentTypeDescription="Create a new document." ma:contentTypeScope="" ma:versionID="d86fda4f4cadeacad06456ee0db8b4a2">
  <xsd:schema xmlns:xsd="http://www.w3.org/2001/XMLSchema" xmlns:xs="http://www.w3.org/2001/XMLSchema" xmlns:p="http://schemas.microsoft.com/office/2006/metadata/properties" xmlns:ns2="ddb71f1d-6b45-4999-aa0f-9d7d0abd2c3a" xmlns:ns3="dc899878-1937-4855-a27d-60adc88b93e6" targetNamespace="http://schemas.microsoft.com/office/2006/metadata/properties" ma:root="true" ma:fieldsID="46159c32d7c55f847d82118a187be91f" ns2:_="" ns3:_="">
    <xsd:import namespace="ddb71f1d-6b45-4999-aa0f-9d7d0abd2c3a"/>
    <xsd:import namespace="dc899878-1937-4855-a27d-60adc88b93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1f1d-6b45-4999-aa0f-9d7d0abd2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99878-1937-4855-a27d-60adc88b93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8601f1-a9b6-49bd-87be-a3e5ca6031f3}" ma:internalName="TaxCatchAll" ma:showField="CatchAllData" ma:web="dc899878-1937-4855-a27d-60adc88b9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ED674-C602-4F31-A7D8-1A96115D6F80}">
  <ds:schemaRefs>
    <ds:schemaRef ds:uri="http://purl.org/dc/elements/1.1/"/>
    <ds:schemaRef ds:uri="ddb71f1d-6b45-4999-aa0f-9d7d0abd2c3a"/>
    <ds:schemaRef ds:uri="dc899878-1937-4855-a27d-60adc88b93e6"/>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5E257F7-D283-43CA-A4E0-D2CEC0B94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1f1d-6b45-4999-aa0f-9d7d0abd2c3a"/>
    <ds:schemaRef ds:uri="dc899878-1937-4855-a27d-60adc88b9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202C7-4E49-41CA-8BCE-9E86453D5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12999</CharactersWithSpaces>
  <SharedDoc>false</SharedDoc>
  <HLinks>
    <vt:vector size="24" baseType="variant">
      <vt:variant>
        <vt:i4>6094921</vt:i4>
      </vt:variant>
      <vt:variant>
        <vt:i4>9</vt:i4>
      </vt:variant>
      <vt:variant>
        <vt:i4>0</vt:i4>
      </vt:variant>
      <vt:variant>
        <vt:i4>5</vt:i4>
      </vt:variant>
      <vt:variant>
        <vt:lpwstr>https://www.nottingham.ac.uk/hr/guidesandsupport/pay/salaryscales/index.aspx</vt:lpwstr>
      </vt:variant>
      <vt:variant>
        <vt:lpwstr/>
      </vt:variant>
      <vt:variant>
        <vt:i4>5701641</vt:i4>
      </vt:variant>
      <vt:variant>
        <vt:i4>6</vt:i4>
      </vt:variant>
      <vt:variant>
        <vt:i4>0</vt:i4>
      </vt:variant>
      <vt:variant>
        <vt:i4>5</vt:i4>
      </vt:variant>
      <vt:variant>
        <vt:lpwstr>https://www.nottingham.ac.uk/strategy/values.aspx</vt:lpwstr>
      </vt:variant>
      <vt:variant>
        <vt:lpwstr/>
      </vt:variant>
      <vt:variant>
        <vt:i4>2490420</vt:i4>
      </vt:variant>
      <vt:variant>
        <vt:i4>3</vt:i4>
      </vt:variant>
      <vt:variant>
        <vt:i4>0</vt:i4>
      </vt:variant>
      <vt:variant>
        <vt:i4>5</vt:i4>
      </vt:variant>
      <vt:variant>
        <vt:lpwstr>https://www.nottingham.ac.uk/hr/guidesandsupport/jobfamilies/rt-career-change-pathway/rt-career-change-pathway.aspx</vt:lpwstr>
      </vt:variant>
      <vt:variant>
        <vt:lpwstr/>
      </vt:variant>
      <vt:variant>
        <vt:i4>1310726</vt:i4>
      </vt:variant>
      <vt:variant>
        <vt:i4>0</vt:i4>
      </vt:variant>
      <vt:variant>
        <vt:i4>0</vt:i4>
      </vt:variant>
      <vt:variant>
        <vt:i4>5</vt:i4>
      </vt:variant>
      <vt:variant>
        <vt:lpwstr>https://www.nottingham.ac.uk/hr/guidesandsupport/promotionandregrading/promotion/rt-level-4-staff-who-have-been-awarded-personal-fellowships.aspx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Goodwin (staff)</dc:creator>
  <cp:keywords/>
  <dc:description/>
  <cp:lastModifiedBy>Tanya Robinson (hr)</cp:lastModifiedBy>
  <cp:revision>86</cp:revision>
  <dcterms:created xsi:type="dcterms:W3CDTF">2023-06-20T14:49:00Z</dcterms:created>
  <dcterms:modified xsi:type="dcterms:W3CDTF">2023-06-26T10:32:00Z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0x010100AB3B4B9491E8CF4EA40D66F2F2E6CCB7</vt:lpwstr>
  </property>
  <property fmtid="{D5CDD505-2E9C-101B-9397-08002B2CF9AE}" pid="3" name="MediaServiceImageTags">
    <vt:lpwstr/>
  </property>
  <property fmtid="{D5CDD505-2E9C-101B-9397-08002B2CF9AE}" pid="4" name="_MarkAsFinal">
    <vt:bool>true</vt:bool>
  </property>
</Properties>
</file>