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B8" w:rsidRDefault="001C47B8" w:rsidP="00DF25F5">
      <w:pPr>
        <w:pStyle w:val="BodyText3"/>
        <w:jc w:val="both"/>
        <w:rPr>
          <w:rFonts w:ascii="Arial" w:hAnsi="Arial" w:cs="Arial"/>
          <w:b/>
          <w:bCs/>
          <w:noProof/>
          <w:sz w:val="24"/>
          <w:szCs w:val="24"/>
        </w:rPr>
      </w:pPr>
      <w:r>
        <w:rPr>
          <w:rFonts w:ascii="Arial" w:hAnsi="Arial" w:cs="Arial"/>
          <w:b/>
          <w:bCs/>
          <w:noProof/>
          <w:sz w:val="24"/>
          <w:szCs w:val="24"/>
        </w:rPr>
        <w:t>SUPPLEMENTARY DATA</w:t>
      </w:r>
    </w:p>
    <w:p w:rsidR="001C47B8" w:rsidRDefault="001C47B8" w:rsidP="00DF25F5">
      <w:pPr>
        <w:pStyle w:val="BodyText3"/>
        <w:jc w:val="both"/>
        <w:rPr>
          <w:rFonts w:ascii="Arial" w:hAnsi="Arial" w:cs="Arial"/>
          <w:b/>
          <w:bCs/>
          <w:noProof/>
          <w:sz w:val="24"/>
          <w:szCs w:val="24"/>
        </w:rPr>
      </w:pPr>
      <w:r>
        <w:rPr>
          <w:rFonts w:ascii="Arial" w:hAnsi="Arial" w:cs="Arial"/>
          <w:b/>
          <w:bCs/>
          <w:noProof/>
          <w:sz w:val="24"/>
          <w:szCs w:val="24"/>
        </w:rPr>
        <w:t>Treatment effects on predaceous and fungivorous mite biomass</w:t>
      </w:r>
    </w:p>
    <w:p w:rsidR="001C47B8" w:rsidRDefault="001C47B8" w:rsidP="00DF25F5">
      <w:pPr>
        <w:pStyle w:val="BodyText3"/>
        <w:jc w:val="both"/>
        <w:rPr>
          <w:noProof/>
          <w:sz w:val="24"/>
          <w:szCs w:val="24"/>
        </w:rPr>
      </w:pPr>
      <w:r>
        <w:rPr>
          <w:noProof/>
          <w:sz w:val="24"/>
          <w:szCs w:val="24"/>
        </w:rPr>
        <w:t>Biomass estimation for each morphotype in the predaceous and fungivorous mite groups, and collembola (milligram dry mass per m</w:t>
      </w:r>
      <w:r>
        <w:rPr>
          <w:noProof/>
          <w:sz w:val="24"/>
          <w:szCs w:val="24"/>
          <w:vertAlign w:val="superscript"/>
        </w:rPr>
        <w:t>2</w:t>
      </w:r>
      <w:r>
        <w:rPr>
          <w:noProof/>
          <w:sz w:val="24"/>
          <w:szCs w:val="24"/>
        </w:rPr>
        <w:t>) were calculated using the abundance of each type times the average measured biomass of indivduals.  Where abundances were not sufficient to measure dry mass, biomass was estimated from similar sized types within the same group.</w:t>
      </w:r>
    </w:p>
    <w:p w:rsidR="001C47B8" w:rsidRDefault="001C47B8" w:rsidP="00DF25F5">
      <w:pPr>
        <w:pStyle w:val="BodyText3"/>
        <w:jc w:val="both"/>
        <w:rPr>
          <w:noProof/>
          <w:sz w:val="24"/>
          <w:szCs w:val="24"/>
        </w:rPr>
      </w:pPr>
      <w:r>
        <w:rPr>
          <w:noProof/>
          <w:sz w:val="24"/>
          <w:szCs w:val="24"/>
        </w:rPr>
        <w:t>There was a significant effect of treatment on microarthropod biomass (milligrams per m</w:t>
      </w:r>
      <w:r>
        <w:rPr>
          <w:noProof/>
          <w:sz w:val="24"/>
          <w:szCs w:val="24"/>
          <w:vertAlign w:val="superscript"/>
        </w:rPr>
        <w:t>2</w:t>
      </w:r>
      <w:r>
        <w:rPr>
          <w:noProof/>
          <w:sz w:val="24"/>
          <w:szCs w:val="24"/>
        </w:rPr>
        <w:t xml:space="preserve">; Wilk’s </w:t>
      </w:r>
      <w:r>
        <w:rPr>
          <w:sz w:val="24"/>
          <w:szCs w:val="24"/>
          <w:lang w:val="en-US"/>
        </w:rPr>
        <w:sym w:font="Symbol" w:char="F06C"/>
      </w:r>
      <w:r>
        <w:rPr>
          <w:sz w:val="24"/>
          <w:szCs w:val="24"/>
        </w:rPr>
        <w:t xml:space="preserve"> </w:t>
      </w:r>
      <w:r>
        <w:rPr>
          <w:sz w:val="24"/>
          <w:szCs w:val="24"/>
          <w:lang w:val="en-US"/>
        </w:rPr>
        <w:t xml:space="preserve">= 0.11, </w:t>
      </w:r>
      <w:r>
        <w:rPr>
          <w:i/>
          <w:iCs/>
          <w:noProof/>
          <w:sz w:val="24"/>
          <w:szCs w:val="24"/>
        </w:rPr>
        <w:t>F</w:t>
      </w:r>
      <w:r>
        <w:rPr>
          <w:noProof/>
          <w:sz w:val="24"/>
          <w:szCs w:val="24"/>
          <w:vertAlign w:val="subscript"/>
        </w:rPr>
        <w:t>15, 33.53</w:t>
      </w:r>
      <w:r>
        <w:rPr>
          <w:noProof/>
          <w:sz w:val="24"/>
          <w:szCs w:val="24"/>
        </w:rPr>
        <w:t xml:space="preserve"> = 2.758, </w:t>
      </w:r>
      <w:r>
        <w:rPr>
          <w:i/>
          <w:iCs/>
          <w:noProof/>
          <w:sz w:val="24"/>
          <w:szCs w:val="24"/>
        </w:rPr>
        <w:t>P</w:t>
      </w:r>
      <w:r>
        <w:rPr>
          <w:noProof/>
          <w:sz w:val="24"/>
          <w:szCs w:val="24"/>
        </w:rPr>
        <w:t xml:space="preserve"> &lt; 0.007). Large predatory mite biomass in the </w:t>
      </w:r>
      <w:r w:rsidRPr="005B0D1C">
        <w:rPr>
          <w:i/>
          <w:iCs/>
          <w:noProof/>
          <w:sz w:val="24"/>
          <w:szCs w:val="24"/>
        </w:rPr>
        <w:t>continuous</w:t>
      </w:r>
      <w:r>
        <w:rPr>
          <w:noProof/>
          <w:sz w:val="24"/>
          <w:szCs w:val="24"/>
        </w:rPr>
        <w:t xml:space="preserve"> treatment was significantly greater (4.5 times) than in the fragmented treatments (</w:t>
      </w:r>
      <w:r>
        <w:rPr>
          <w:i/>
          <w:iCs/>
          <w:noProof/>
          <w:sz w:val="24"/>
          <w:szCs w:val="24"/>
        </w:rPr>
        <w:t>F</w:t>
      </w:r>
      <w:r>
        <w:rPr>
          <w:noProof/>
          <w:sz w:val="24"/>
          <w:szCs w:val="24"/>
          <w:vertAlign w:val="subscript"/>
        </w:rPr>
        <w:t>3, 16</w:t>
      </w:r>
      <w:r>
        <w:rPr>
          <w:noProof/>
          <w:sz w:val="24"/>
          <w:szCs w:val="24"/>
        </w:rPr>
        <w:t xml:space="preserve"> = 13.648, </w:t>
      </w:r>
      <w:r>
        <w:rPr>
          <w:i/>
          <w:iCs/>
          <w:noProof/>
          <w:sz w:val="24"/>
          <w:szCs w:val="24"/>
        </w:rPr>
        <w:t>P</w:t>
      </w:r>
      <w:r>
        <w:rPr>
          <w:noProof/>
          <w:sz w:val="24"/>
          <w:szCs w:val="24"/>
        </w:rPr>
        <w:t xml:space="preserve"> &lt; 0.001; contrast 1: </w:t>
      </w:r>
      <w:r>
        <w:rPr>
          <w:i/>
          <w:iCs/>
          <w:noProof/>
          <w:sz w:val="24"/>
          <w:szCs w:val="24"/>
        </w:rPr>
        <w:t>t</w:t>
      </w:r>
      <w:r>
        <w:rPr>
          <w:noProof/>
          <w:sz w:val="24"/>
          <w:szCs w:val="24"/>
        </w:rPr>
        <w:t xml:space="preserve"> = 6.059, </w:t>
      </w:r>
      <w:r>
        <w:rPr>
          <w:i/>
          <w:iCs/>
          <w:noProof/>
          <w:sz w:val="24"/>
          <w:szCs w:val="24"/>
        </w:rPr>
        <w:t>P</w:t>
      </w:r>
      <w:r>
        <w:rPr>
          <w:noProof/>
          <w:sz w:val="24"/>
          <w:szCs w:val="24"/>
        </w:rPr>
        <w:t xml:space="preserve"> &lt; 0.001), while biomass of small fungivorous mites were significantly lower (5.7 times) in the </w:t>
      </w:r>
      <w:r w:rsidRPr="005B0D1C">
        <w:rPr>
          <w:i/>
          <w:iCs/>
          <w:noProof/>
          <w:sz w:val="24"/>
          <w:szCs w:val="24"/>
        </w:rPr>
        <w:t>continuous</w:t>
      </w:r>
      <w:r>
        <w:rPr>
          <w:noProof/>
          <w:sz w:val="24"/>
          <w:szCs w:val="24"/>
        </w:rPr>
        <w:t xml:space="preserve"> treatment versus the fragmented treatments (</w:t>
      </w:r>
      <w:r>
        <w:rPr>
          <w:i/>
          <w:iCs/>
          <w:noProof/>
          <w:sz w:val="24"/>
          <w:szCs w:val="24"/>
        </w:rPr>
        <w:t>F</w:t>
      </w:r>
      <w:r>
        <w:rPr>
          <w:noProof/>
          <w:sz w:val="24"/>
          <w:szCs w:val="24"/>
          <w:vertAlign w:val="subscript"/>
        </w:rPr>
        <w:t xml:space="preserve">3, 16 </w:t>
      </w:r>
      <w:r>
        <w:rPr>
          <w:noProof/>
          <w:sz w:val="24"/>
          <w:szCs w:val="24"/>
        </w:rPr>
        <w:t xml:space="preserve">= 4.953, </w:t>
      </w:r>
      <w:r>
        <w:rPr>
          <w:i/>
          <w:iCs/>
          <w:noProof/>
          <w:sz w:val="24"/>
          <w:szCs w:val="24"/>
        </w:rPr>
        <w:t>P</w:t>
      </w:r>
      <w:r>
        <w:rPr>
          <w:noProof/>
          <w:sz w:val="24"/>
          <w:szCs w:val="24"/>
        </w:rPr>
        <w:t xml:space="preserve"> = 0.013; contrast 1: </w:t>
      </w:r>
      <w:r>
        <w:rPr>
          <w:i/>
          <w:iCs/>
          <w:noProof/>
          <w:sz w:val="24"/>
          <w:szCs w:val="24"/>
        </w:rPr>
        <w:t xml:space="preserve">t </w:t>
      </w:r>
      <w:r>
        <w:rPr>
          <w:noProof/>
          <w:sz w:val="24"/>
          <w:szCs w:val="24"/>
        </w:rPr>
        <w:t xml:space="preserve">= -3.135, </w:t>
      </w:r>
      <w:r>
        <w:rPr>
          <w:i/>
          <w:iCs/>
          <w:noProof/>
          <w:sz w:val="24"/>
          <w:szCs w:val="24"/>
        </w:rPr>
        <w:t>P</w:t>
      </w:r>
      <w:r>
        <w:rPr>
          <w:noProof/>
          <w:sz w:val="24"/>
          <w:szCs w:val="24"/>
        </w:rPr>
        <w:t xml:space="preserve"> = 0.006) (Fig. S1). </w:t>
      </w:r>
    </w:p>
    <w:p w:rsidR="001C47B8" w:rsidRDefault="001C47B8" w:rsidP="00DF25F5">
      <w:pPr>
        <w:spacing w:line="480" w:lineRule="auto"/>
        <w:rPr>
          <w:lang w:val="en-US"/>
        </w:rPr>
      </w:pPr>
      <w:r>
        <w:rPr>
          <w:lang w:val="en-US"/>
        </w:rPr>
        <w:t xml:space="preserve">Our biomass results are consistent with our understanding of this detrital system, as a reduction of total biomass has been shown to lower net rates of nitrogen mineralization (Hunt &amp; Wall 2002).  </w:t>
      </w:r>
    </w:p>
    <w:p w:rsidR="001C47B8" w:rsidRDefault="001C47B8" w:rsidP="00DF25F5">
      <w:pPr>
        <w:pStyle w:val="BodyText3"/>
        <w:jc w:val="both"/>
        <w:rPr>
          <w:noProof/>
          <w:sz w:val="24"/>
          <w:szCs w:val="24"/>
        </w:rPr>
      </w:pPr>
      <w:r w:rsidRPr="00D6198A">
        <w:rPr>
          <w:noProof/>
          <w:sz w:val="24"/>
          <w:szCs w:val="24"/>
        </w:rPr>
        <w:t>Reference:</w:t>
      </w:r>
    </w:p>
    <w:p w:rsidR="001C47B8" w:rsidRDefault="001C47B8" w:rsidP="00AC3767">
      <w:pPr>
        <w:autoSpaceDE w:val="0"/>
        <w:autoSpaceDN w:val="0"/>
        <w:adjustRightInd w:val="0"/>
        <w:rPr>
          <w:noProof/>
        </w:rPr>
      </w:pPr>
      <w:r>
        <w:rPr>
          <w:lang w:val="en-US"/>
        </w:rPr>
        <w:t xml:space="preserve">Hunt, H.W.&amp;Wall, D.H. (2002). Modelling the effects of loss of soil biodiversity on ecosystem function. </w:t>
      </w:r>
      <w:r w:rsidRPr="00AC3767">
        <w:rPr>
          <w:rFonts w:ascii="AdvGARMT-I" w:hAnsi="AdvGARMT-I" w:cs="AdvGARMT-I"/>
          <w:i/>
          <w:lang w:val="en-US"/>
        </w:rPr>
        <w:t>Glob. Change Biol</w:t>
      </w:r>
      <w:r>
        <w:rPr>
          <w:rFonts w:ascii="AdvGARMT-I" w:hAnsi="AdvGARMT-I" w:cs="AdvGARMT-I"/>
          <w:lang w:val="en-US"/>
        </w:rPr>
        <w:t>.</w:t>
      </w:r>
      <w:r>
        <w:rPr>
          <w:lang w:val="en-US"/>
        </w:rPr>
        <w:t>, 8, 33–50.</w:t>
      </w:r>
      <w:r>
        <w:rPr>
          <w:noProof/>
        </w:rPr>
        <w:br w:type="page"/>
      </w:r>
      <w:r>
        <w:rPr>
          <w:rFonts w:ascii="Arial" w:hAnsi="Arial" w:cs="Arial"/>
          <w:b/>
          <w:bCs/>
          <w:noProof/>
        </w:rPr>
        <w:t>Supplemenary Figure S1.</w:t>
      </w:r>
      <w:r>
        <w:rPr>
          <w:noProof/>
        </w:rPr>
        <w:t xml:space="preserve"> The effect of fragmentation on the biomass (mean mg/m</w:t>
      </w:r>
      <w:r>
        <w:rPr>
          <w:noProof/>
          <w:vertAlign w:val="superscript"/>
        </w:rPr>
        <w:t xml:space="preserve">2 </w:t>
      </w:r>
      <w:r>
        <w:rPr>
          <w:noProof/>
        </w:rPr>
        <w:t>± SE) of large predaceous mites (circles) and small fungivorous mites (squares) at the end of the experiment (315 days).</w:t>
      </w:r>
    </w:p>
    <w:p w:rsidR="001C47B8" w:rsidRDefault="001C47B8" w:rsidP="00DF25F5">
      <w:pPr>
        <w:pStyle w:val="BodyText3"/>
        <w:jc w:val="both"/>
        <w:rPr>
          <w:noProof/>
          <w:sz w:val="24"/>
          <w:szCs w:val="24"/>
        </w:rPr>
      </w:pPr>
    </w:p>
    <w:p w:rsidR="001C47B8" w:rsidRDefault="001C47B8" w:rsidP="00DF25F5">
      <w:pPr>
        <w:pStyle w:val="BodyText3"/>
        <w:ind w:left="450" w:hanging="450"/>
        <w:jc w:val="both"/>
        <w:rPr>
          <w:noProof/>
          <w:sz w:val="24"/>
          <w:szCs w:val="24"/>
        </w:rPr>
      </w:pPr>
      <w:r w:rsidRPr="00B0520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0.5pt;height:323.25pt;visibility:visible">
            <v:imagedata r:id="rId4" o:title=""/>
          </v:shape>
        </w:pict>
      </w:r>
      <w:r>
        <w:rPr>
          <w:rFonts w:ascii="Arial" w:hAnsi="Arial" w:cs="Arial"/>
          <w:b/>
          <w:bCs/>
          <w:noProof/>
          <w:sz w:val="24"/>
          <w:szCs w:val="24"/>
        </w:rPr>
        <w:br w:type="page"/>
        <w:t>Supplemenary Figure S2.</w:t>
      </w:r>
      <w:r>
        <w:rPr>
          <w:noProof/>
          <w:sz w:val="24"/>
          <w:szCs w:val="24"/>
        </w:rPr>
        <w:t xml:space="preserve"> The effect of fragmentation on the biomass (mean mg/m</w:t>
      </w:r>
      <w:r>
        <w:rPr>
          <w:noProof/>
          <w:sz w:val="24"/>
          <w:szCs w:val="24"/>
          <w:vertAlign w:val="superscript"/>
        </w:rPr>
        <w:t xml:space="preserve">2 </w:t>
      </w:r>
      <w:r>
        <w:rPr>
          <w:noProof/>
          <w:sz w:val="24"/>
          <w:szCs w:val="24"/>
        </w:rPr>
        <w:t>± SE) of the dominant collembola group Isotomidae (~75% of collembola biomass) at the end of the experiment (315 days).</w:t>
      </w:r>
    </w:p>
    <w:p w:rsidR="001C47B8" w:rsidRDefault="001C47B8" w:rsidP="00DF25F5">
      <w:pPr>
        <w:pStyle w:val="BodyText3"/>
        <w:ind w:left="450" w:hanging="450"/>
        <w:jc w:val="both"/>
        <w:rPr>
          <w:noProof/>
          <w:sz w:val="24"/>
          <w:szCs w:val="24"/>
        </w:rPr>
      </w:pPr>
    </w:p>
    <w:p w:rsidR="001C47B8" w:rsidRDefault="001C47B8" w:rsidP="00DF25F5">
      <w:pPr>
        <w:pStyle w:val="BodyText3"/>
        <w:ind w:left="450" w:hanging="450"/>
        <w:jc w:val="both"/>
      </w:pPr>
      <w:r w:rsidRPr="00B05204">
        <w:rPr>
          <w:noProof/>
          <w:lang w:val="en-US"/>
        </w:rPr>
        <w:pict>
          <v:shape id="Picture 2" o:spid="_x0000_i1026" type="#_x0000_t75" style="width:430.5pt;height:323.25pt;visibility:visible">
            <v:imagedata r:id="rId5" o:title=""/>
          </v:shape>
        </w:pict>
      </w:r>
    </w:p>
    <w:p w:rsidR="001C47B8" w:rsidRPr="002A15C1" w:rsidRDefault="001C47B8" w:rsidP="00DF25F5">
      <w:pPr>
        <w:pStyle w:val="BodyText3"/>
        <w:ind w:left="450" w:hanging="450"/>
        <w:jc w:val="both"/>
        <w:rPr>
          <w:b/>
          <w:bCs/>
          <w:noProof/>
          <w:sz w:val="24"/>
          <w:szCs w:val="24"/>
        </w:rPr>
      </w:pPr>
      <w:r>
        <w:br w:type="page"/>
      </w:r>
      <w:r>
        <w:rPr>
          <w:rFonts w:ascii="Arial" w:hAnsi="Arial" w:cs="Arial"/>
          <w:b/>
          <w:bCs/>
          <w:noProof/>
          <w:sz w:val="24"/>
          <w:szCs w:val="24"/>
        </w:rPr>
        <w:t xml:space="preserve">Supplemenary Figure S3. </w:t>
      </w:r>
      <w:r w:rsidRPr="002A15C1">
        <w:rPr>
          <w:noProof/>
          <w:sz w:val="24"/>
          <w:szCs w:val="24"/>
        </w:rPr>
        <w:t>Image of PVC-based chambers used to maintain the moss microcosms.</w:t>
      </w:r>
    </w:p>
    <w:p w:rsidR="001C47B8" w:rsidRDefault="001C47B8">
      <w:r w:rsidRPr="00B05204">
        <w:rPr>
          <w:noProof/>
          <w:lang w:val="en-US"/>
        </w:rPr>
        <w:pict>
          <v:shape id="Picture 5" o:spid="_x0000_i1027" type="#_x0000_t75" alt="::::::Moss Research:Notts Experiment_small.jpg" style="width:280.5pt;height:378pt;visibility:visible">
            <v:imagedata r:id="rId6" o:title=""/>
          </v:shape>
        </w:pict>
      </w:r>
    </w:p>
    <w:sectPr w:rsidR="001C47B8" w:rsidSect="008939C0">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dvGARMT-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5F5"/>
    <w:rsid w:val="00056430"/>
    <w:rsid w:val="001C47B8"/>
    <w:rsid w:val="002A15C1"/>
    <w:rsid w:val="005935DE"/>
    <w:rsid w:val="005B0D1C"/>
    <w:rsid w:val="00656E8C"/>
    <w:rsid w:val="006B40C2"/>
    <w:rsid w:val="008939C0"/>
    <w:rsid w:val="00AC3767"/>
    <w:rsid w:val="00B05204"/>
    <w:rsid w:val="00CC6A07"/>
    <w:rsid w:val="00D6198A"/>
    <w:rsid w:val="00DF25F5"/>
    <w:rsid w:val="00EF7162"/>
    <w:rsid w:val="00F35B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F5"/>
    <w:rPr>
      <w:rFonts w:ascii="Times New Roman" w:eastAsia="Times New Roman" w:hAnsi="Times New Roman"/>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rsid w:val="00DF25F5"/>
    <w:pPr>
      <w:spacing w:after="120" w:line="480" w:lineRule="auto"/>
    </w:pPr>
    <w:rPr>
      <w:sz w:val="16"/>
      <w:szCs w:val="16"/>
    </w:rPr>
  </w:style>
  <w:style w:type="character" w:customStyle="1" w:styleId="BodyText3Char">
    <w:name w:val="Body Text 3 Char"/>
    <w:basedOn w:val="DefaultParagraphFont"/>
    <w:link w:val="BodyText3"/>
    <w:uiPriority w:val="99"/>
    <w:semiHidden/>
    <w:locked/>
    <w:rsid w:val="00DF25F5"/>
    <w:rPr>
      <w:rFonts w:ascii="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272</Words>
  <Characters>1552</Characters>
  <Application>Microsoft Office Outlook</Application>
  <DocSecurity>0</DocSecurity>
  <Lines>0</Lines>
  <Paragraphs>0</Paragraphs>
  <ScaleCrop>false</ScaleCrop>
  <Company>McGill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Gonzalez</dc:creator>
  <cp:keywords/>
  <dc:description/>
  <cp:lastModifiedBy>0000881</cp:lastModifiedBy>
  <cp:revision>4</cp:revision>
  <dcterms:created xsi:type="dcterms:W3CDTF">2010-02-14T02:21:00Z</dcterms:created>
  <dcterms:modified xsi:type="dcterms:W3CDTF">2010-03-02T08:05:00Z</dcterms:modified>
</cp:coreProperties>
</file>