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BDC7" w14:textId="77777777" w:rsidR="00015C92" w:rsidRDefault="00015C92" w:rsidP="00015C92"/>
    <w:p w14:paraId="02786DF0" w14:textId="77777777" w:rsidR="00015C92" w:rsidRDefault="00015C92" w:rsidP="00015C92">
      <w:pPr>
        <w:pStyle w:val="Heading2"/>
      </w:pPr>
      <w:r>
        <w:rPr>
          <w:noProof/>
        </w:rPr>
        <w:drawing>
          <wp:anchor distT="0" distB="0" distL="114300" distR="114300" simplePos="0" relativeHeight="251659264" behindDoc="1" locked="0" layoutInCell="1" allowOverlap="1" wp14:anchorId="5C1F3838" wp14:editId="34BC991B">
            <wp:simplePos x="0" y="0"/>
            <wp:positionH relativeFrom="margin">
              <wp:posOffset>-152400</wp:posOffset>
            </wp:positionH>
            <wp:positionV relativeFrom="paragraph">
              <wp:posOffset>0</wp:posOffset>
            </wp:positionV>
            <wp:extent cx="2113280" cy="685800"/>
            <wp:effectExtent l="0" t="0" r="1270" b="0"/>
            <wp:wrapTight wrapText="bothSides">
              <wp:wrapPolygon edited="0">
                <wp:start x="0" y="0"/>
                <wp:lineTo x="0" y="21000"/>
                <wp:lineTo x="21418" y="21000"/>
                <wp:lineTo x="21418" y="0"/>
                <wp:lineTo x="0" y="0"/>
              </wp:wrapPolygon>
            </wp:wrapTight>
            <wp:docPr id="1835334457" name="Picture 1835334457"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1788" name="Picture 266251788"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24A75B4" wp14:editId="38C3B3DE">
            <wp:simplePos x="0" y="0"/>
            <wp:positionH relativeFrom="margin">
              <wp:posOffset>5461000</wp:posOffset>
            </wp:positionH>
            <wp:positionV relativeFrom="paragraph">
              <wp:posOffset>0</wp:posOffset>
            </wp:positionV>
            <wp:extent cx="845820" cy="704850"/>
            <wp:effectExtent l="0" t="0" r="0" b="0"/>
            <wp:wrapTight wrapText="bothSides">
              <wp:wrapPolygon edited="0">
                <wp:start x="0" y="0"/>
                <wp:lineTo x="0" y="21016"/>
                <wp:lineTo x="20919" y="21016"/>
                <wp:lineTo x="20919" y="0"/>
                <wp:lineTo x="0" y="0"/>
              </wp:wrapPolygon>
            </wp:wrapTight>
            <wp:docPr id="944506286" name="Picture 944506286"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06286" name="Picture 944506286"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r>
        <w:t>Nottingham Magnify Project 2025</w:t>
      </w:r>
    </w:p>
    <w:p w14:paraId="611E405D" w14:textId="77777777" w:rsidR="00015C92" w:rsidRDefault="00015C92" w:rsidP="00015C92"/>
    <w:tbl>
      <w:tblPr>
        <w:tblStyle w:val="TableGrid"/>
        <w:tblW w:w="0" w:type="auto"/>
        <w:tblLook w:val="04A0" w:firstRow="1" w:lastRow="0" w:firstColumn="1" w:lastColumn="0" w:noHBand="0" w:noVBand="1"/>
      </w:tblPr>
      <w:tblGrid>
        <w:gridCol w:w="9487"/>
      </w:tblGrid>
      <w:tr w:rsidR="00015C92" w14:paraId="4848132A" w14:textId="77777777" w:rsidTr="00F91561">
        <w:tc>
          <w:tcPr>
            <w:tcW w:w="9487" w:type="dxa"/>
          </w:tcPr>
          <w:p w14:paraId="6098281F" w14:textId="77777777" w:rsidR="00015C92" w:rsidRPr="00F555B1" w:rsidRDefault="00015C92" w:rsidP="00F91561">
            <w:pPr>
              <w:rPr>
                <w:b/>
                <w:bCs/>
              </w:rPr>
            </w:pPr>
            <w:r>
              <w:rPr>
                <w:b/>
                <w:bCs/>
              </w:rPr>
              <w:t>Name of Supervisor:</w:t>
            </w:r>
            <w:r w:rsidRPr="00F555B1">
              <w:rPr>
                <w:b/>
                <w:bCs/>
              </w:rPr>
              <w:t xml:space="preserve"> </w:t>
            </w:r>
          </w:p>
        </w:tc>
      </w:tr>
      <w:tr w:rsidR="00015C92" w14:paraId="6C4EEAAF" w14:textId="77777777" w:rsidTr="00F91561">
        <w:tc>
          <w:tcPr>
            <w:tcW w:w="9487" w:type="dxa"/>
          </w:tcPr>
          <w:p w14:paraId="10140D4D" w14:textId="77777777" w:rsidR="00015C92" w:rsidRDefault="00015C92" w:rsidP="00F91561">
            <w:r>
              <w:rPr>
                <w:noProof/>
              </w:rPr>
              <w:t>Almudena Ortiz-Urquiza (fungal biology), Guillermina Mendiondo (plant biology).</w:t>
            </w:r>
          </w:p>
        </w:tc>
      </w:tr>
      <w:tr w:rsidR="00015C92" w14:paraId="29650369" w14:textId="77777777" w:rsidTr="00F91561">
        <w:tc>
          <w:tcPr>
            <w:tcW w:w="9487" w:type="dxa"/>
          </w:tcPr>
          <w:p w14:paraId="2A8E1FC1" w14:textId="77777777" w:rsidR="00015C92" w:rsidRPr="00232224" w:rsidRDefault="00015C92" w:rsidP="00F91561">
            <w:pPr>
              <w:rPr>
                <w:b/>
                <w:bCs/>
              </w:rPr>
            </w:pPr>
            <w:r>
              <w:rPr>
                <w:b/>
                <w:bCs/>
              </w:rPr>
              <w:t xml:space="preserve">Research Theme: </w:t>
            </w:r>
          </w:p>
        </w:tc>
      </w:tr>
      <w:tr w:rsidR="00015C92" w14:paraId="7F761C8A" w14:textId="77777777" w:rsidTr="00F91561">
        <w:tc>
          <w:tcPr>
            <w:tcW w:w="9487" w:type="dxa"/>
          </w:tcPr>
          <w:p w14:paraId="234093E2" w14:textId="77777777" w:rsidR="00015C92" w:rsidRDefault="00015C92" w:rsidP="00F91561">
            <w:r>
              <w:rPr>
                <w:noProof/>
              </w:rPr>
              <w:t>Agriculture and Food Security</w:t>
            </w:r>
          </w:p>
        </w:tc>
      </w:tr>
      <w:tr w:rsidR="00015C92" w14:paraId="206C88BF" w14:textId="77777777" w:rsidTr="00F91561">
        <w:tc>
          <w:tcPr>
            <w:tcW w:w="9487" w:type="dxa"/>
          </w:tcPr>
          <w:p w14:paraId="7131D95C" w14:textId="77777777" w:rsidR="00015C92" w:rsidRPr="00232224" w:rsidRDefault="00015C92" w:rsidP="00F91561">
            <w:pPr>
              <w:rPr>
                <w:b/>
                <w:bCs/>
              </w:rPr>
            </w:pPr>
            <w:r>
              <w:rPr>
                <w:b/>
                <w:bCs/>
              </w:rPr>
              <w:t>Location of Project:</w:t>
            </w:r>
          </w:p>
        </w:tc>
      </w:tr>
      <w:tr w:rsidR="00015C92" w14:paraId="2D4B504C" w14:textId="77777777" w:rsidTr="00F91561">
        <w:tc>
          <w:tcPr>
            <w:tcW w:w="9487" w:type="dxa"/>
          </w:tcPr>
          <w:p w14:paraId="7EC6D7A2" w14:textId="77777777" w:rsidR="00015C92" w:rsidRDefault="00015C92" w:rsidP="00F91561">
            <w:r>
              <w:rPr>
                <w:noProof/>
              </w:rPr>
              <w:t>Plant Science building and South lab on the Sutton Bonington Campus.</w:t>
            </w:r>
          </w:p>
        </w:tc>
      </w:tr>
    </w:tbl>
    <w:p w14:paraId="3D54438F" w14:textId="77777777" w:rsidR="00015C92" w:rsidRPr="00F555B1" w:rsidRDefault="00015C92" w:rsidP="00015C92"/>
    <w:tbl>
      <w:tblPr>
        <w:tblStyle w:val="TableGrid"/>
        <w:tblW w:w="0" w:type="auto"/>
        <w:tblLook w:val="04A0" w:firstRow="1" w:lastRow="0" w:firstColumn="1" w:lastColumn="0" w:noHBand="0" w:noVBand="1"/>
      </w:tblPr>
      <w:tblGrid>
        <w:gridCol w:w="9487"/>
      </w:tblGrid>
      <w:tr w:rsidR="00015C92" w14:paraId="65B1A999" w14:textId="77777777" w:rsidTr="00F91561">
        <w:tc>
          <w:tcPr>
            <w:tcW w:w="9487" w:type="dxa"/>
          </w:tcPr>
          <w:p w14:paraId="64B09785" w14:textId="77777777" w:rsidR="00015C92" w:rsidRPr="002B7057" w:rsidRDefault="00015C92" w:rsidP="00F91561">
            <w:pPr>
              <w:rPr>
                <w:b/>
                <w:bCs/>
              </w:rPr>
            </w:pPr>
            <w:r>
              <w:rPr>
                <w:b/>
                <w:bCs/>
              </w:rPr>
              <w:t>Project Title:</w:t>
            </w:r>
          </w:p>
        </w:tc>
      </w:tr>
      <w:tr w:rsidR="00015C92" w14:paraId="6241C1E0" w14:textId="77777777" w:rsidTr="00F91561">
        <w:tc>
          <w:tcPr>
            <w:tcW w:w="9487" w:type="dxa"/>
          </w:tcPr>
          <w:p w14:paraId="6BC43C14" w14:textId="77777777" w:rsidR="00015C92" w:rsidRDefault="00015C92" w:rsidP="00F91561">
            <w:r>
              <w:rPr>
                <w:noProof/>
              </w:rPr>
              <w:t>Leveraging endophytic insect-pathogenic fungi to enhance plant resistance to diseases and pests.</w:t>
            </w:r>
          </w:p>
        </w:tc>
      </w:tr>
      <w:tr w:rsidR="00015C92" w14:paraId="120AD3F6" w14:textId="77777777" w:rsidTr="00F91561">
        <w:tc>
          <w:tcPr>
            <w:tcW w:w="9487" w:type="dxa"/>
          </w:tcPr>
          <w:p w14:paraId="0FB79CE6" w14:textId="77777777" w:rsidR="00015C92" w:rsidRPr="005601BD" w:rsidRDefault="00015C92" w:rsidP="00F91561">
            <w:pPr>
              <w:rPr>
                <w:b/>
                <w:bCs/>
              </w:rPr>
            </w:pPr>
            <w:r>
              <w:rPr>
                <w:b/>
                <w:bCs/>
              </w:rPr>
              <w:t>Project Description:</w:t>
            </w:r>
          </w:p>
        </w:tc>
      </w:tr>
      <w:tr w:rsidR="00015C92" w14:paraId="5992AA61" w14:textId="77777777" w:rsidTr="00F91561">
        <w:tc>
          <w:tcPr>
            <w:tcW w:w="9487" w:type="dxa"/>
          </w:tcPr>
          <w:p w14:paraId="447244E1" w14:textId="77777777" w:rsidR="00015C92" w:rsidRDefault="00015C92" w:rsidP="00F91561">
            <w:pPr>
              <w:spacing w:line="240" w:lineRule="auto"/>
              <w:rPr>
                <w:noProof/>
              </w:rPr>
            </w:pPr>
            <w:r>
              <w:rPr>
                <w:noProof/>
              </w:rPr>
              <w:t xml:space="preserve">The fungus Beauveria bassiana, is a broad-host range insect pathogenic fungus, widely used in biological control applications. This fungus is also a well-known generalist endophyte able to establish mutualistic relationships with various plant species. An increasing body of work has focused on the B. bassiana-plant mutualistic interaction, including the increased disease and pest resistance that B. bassiana-colonised plants exhibit. However, these studies describe, with little to no mechanisms, the beneficial effects of this endophyte insect pathogenic fungus on plant health. In plants, resistance to herbivores and pathogens is mediated by the phytohormones ethylene (ET) and salicylic acid (SA). B. bassiana produces both SA and ET; however, little is known concerning how the production of these compounds by the fungus contributes to the phytohormone pool during plant-fungal association. We hypothesise that the disease and pest resistance in B. bassiana-colonised plants is partly due to B. bassiana producing ET and SA, along with the production of insecticidal proteins, during plant colonisation. </w:t>
            </w:r>
          </w:p>
          <w:p w14:paraId="54DAE219" w14:textId="77777777" w:rsidR="00015C92" w:rsidRDefault="00015C92" w:rsidP="00F91561">
            <w:pPr>
              <w:spacing w:line="240" w:lineRule="auto"/>
              <w:rPr>
                <w:noProof/>
              </w:rPr>
            </w:pPr>
            <w:r>
              <w:rPr>
                <w:noProof/>
              </w:rPr>
              <w:t xml:space="preserve">Ultimately, this project aims to underpin the mechanisms employed by B. bassiana to protect plants from pests and diseases, enabling us to exploit those mechanisms in practical applications to build resilience in plants against diseases and pests. </w:t>
            </w:r>
          </w:p>
          <w:p w14:paraId="3E4BD018" w14:textId="77777777" w:rsidR="00015C92" w:rsidRDefault="00015C92" w:rsidP="00F91561">
            <w:pPr>
              <w:spacing w:line="240" w:lineRule="auto"/>
              <w:rPr>
                <w:noProof/>
              </w:rPr>
            </w:pPr>
          </w:p>
          <w:p w14:paraId="6EC954A3" w14:textId="6C20B850" w:rsidR="00015C92" w:rsidRDefault="00015C92" w:rsidP="00F91561">
            <w:pPr>
              <w:spacing w:line="240" w:lineRule="auto"/>
              <w:rPr>
                <w:noProof/>
              </w:rPr>
            </w:pPr>
            <w:r>
              <w:rPr>
                <w:noProof/>
              </w:rPr>
              <w:t>This rotation has two primary aims:</w:t>
            </w:r>
          </w:p>
          <w:p w14:paraId="3CC0D672" w14:textId="77777777" w:rsidR="00015C92" w:rsidRDefault="00015C92" w:rsidP="00F91561">
            <w:pPr>
              <w:spacing w:line="240" w:lineRule="auto"/>
              <w:rPr>
                <w:noProof/>
              </w:rPr>
            </w:pPr>
            <w:r>
              <w:rPr>
                <w:noProof/>
              </w:rPr>
              <w:t xml:space="preserve">Aim 1 - Investigating the role of fungal ET and SA in plant disease and pest resistance: </w:t>
            </w:r>
          </w:p>
          <w:p w14:paraId="4CEF962D" w14:textId="77777777" w:rsidR="00015C92" w:rsidRDefault="00015C92" w:rsidP="00F91561">
            <w:pPr>
              <w:spacing w:line="240" w:lineRule="auto"/>
              <w:rPr>
                <w:noProof/>
              </w:rPr>
            </w:pPr>
            <w:r>
              <w:rPr>
                <w:noProof/>
              </w:rPr>
              <w:t xml:space="preserve">Tasks: </w:t>
            </w:r>
          </w:p>
          <w:p w14:paraId="1E61101F" w14:textId="77777777" w:rsidR="00015C92" w:rsidRDefault="00015C92" w:rsidP="00F91561">
            <w:pPr>
              <w:spacing w:line="240" w:lineRule="auto"/>
              <w:rPr>
                <w:noProof/>
              </w:rPr>
            </w:pPr>
            <w:r>
              <w:rPr>
                <w:noProof/>
              </w:rPr>
              <w:t>1.</w:t>
            </w:r>
            <w:r>
              <w:rPr>
                <w:noProof/>
              </w:rPr>
              <w:tab/>
              <w:t>Examining the production of ET and SA on wild-type B. bassiana and mutants with impaired ability to produce ET and SA. Some of these mutants are already available in the laboratory, and the student will generate others by constructing gene-knockout and complementation vectors and using agrobacterium to transform B. bassiana.</w:t>
            </w:r>
          </w:p>
          <w:p w14:paraId="0CB42B97" w14:textId="77777777" w:rsidR="00015C92" w:rsidRDefault="00015C92" w:rsidP="00F91561">
            <w:pPr>
              <w:spacing w:line="240" w:lineRule="auto"/>
              <w:rPr>
                <w:noProof/>
              </w:rPr>
            </w:pPr>
            <w:r>
              <w:rPr>
                <w:noProof/>
              </w:rPr>
              <w:lastRenderedPageBreak/>
              <w:t>2.</w:t>
            </w:r>
            <w:r>
              <w:rPr>
                <w:noProof/>
              </w:rPr>
              <w:tab/>
              <w:t>Testing disease resistance in plants co-inoculated with a plant pathogen and B. bassiana wild-type or mutants with impaired ability to produce ET and SA.</w:t>
            </w:r>
          </w:p>
          <w:p w14:paraId="76F8E76A" w14:textId="77777777" w:rsidR="00015C92" w:rsidRDefault="00015C92" w:rsidP="00F91561">
            <w:pPr>
              <w:spacing w:line="240" w:lineRule="auto"/>
              <w:rPr>
                <w:noProof/>
              </w:rPr>
            </w:pPr>
            <w:r>
              <w:rPr>
                <w:noProof/>
              </w:rPr>
              <w:t>3.</w:t>
            </w:r>
            <w:r>
              <w:rPr>
                <w:noProof/>
              </w:rPr>
              <w:tab/>
              <w:t xml:space="preserve">Comparing the antiherbivore response (i.e., insect pest resistance) conferred by B. bassiana wild-type and a B. bassiana mutant with impaired ability to produce ET. </w:t>
            </w:r>
          </w:p>
          <w:p w14:paraId="45D2CA1D" w14:textId="77777777" w:rsidR="00015C92" w:rsidRDefault="00015C92" w:rsidP="00F91561">
            <w:pPr>
              <w:spacing w:line="240" w:lineRule="auto"/>
              <w:rPr>
                <w:noProof/>
              </w:rPr>
            </w:pPr>
            <w:r>
              <w:rPr>
                <w:noProof/>
              </w:rPr>
              <w:t>Aim 2 – Examining the efficacy of B. bassiana insecticidal proteins:</w:t>
            </w:r>
          </w:p>
          <w:p w14:paraId="42A09712" w14:textId="77777777" w:rsidR="00015C92" w:rsidRDefault="00015C92" w:rsidP="00F91561">
            <w:pPr>
              <w:spacing w:line="240" w:lineRule="auto"/>
              <w:rPr>
                <w:noProof/>
              </w:rPr>
            </w:pPr>
            <w:r>
              <w:rPr>
                <w:noProof/>
              </w:rPr>
              <w:t xml:space="preserve">The genome of B. bassiana contains seven putative insecticidal proteins analogous to Bacillus thuringiensis cry toxins used in transgenic BT crops. Our lab is interested in understanding the targets (i.e., insect orders and species) of these insecticidal proteins and the extent of their insecticidal activity. </w:t>
            </w:r>
          </w:p>
          <w:p w14:paraId="25D073E5" w14:textId="77777777" w:rsidR="00015C92" w:rsidRDefault="00015C92" w:rsidP="00F91561">
            <w:pPr>
              <w:spacing w:line="240" w:lineRule="auto"/>
              <w:rPr>
                <w:noProof/>
              </w:rPr>
            </w:pPr>
            <w:r>
              <w:rPr>
                <w:noProof/>
              </w:rPr>
              <w:t>Tasks:</w:t>
            </w:r>
          </w:p>
          <w:p w14:paraId="48FAD050" w14:textId="77777777" w:rsidR="00015C92" w:rsidRDefault="00015C92" w:rsidP="00F91561">
            <w:pPr>
              <w:spacing w:line="240" w:lineRule="auto"/>
              <w:rPr>
                <w:noProof/>
              </w:rPr>
            </w:pPr>
            <w:r>
              <w:rPr>
                <w:noProof/>
              </w:rPr>
              <w:t>1.</w:t>
            </w:r>
            <w:r>
              <w:rPr>
                <w:noProof/>
              </w:rPr>
              <w:tab/>
              <w:t xml:space="preserve">Overexpression of B. bassiana insecticidal proteins in Arabidopsis thaliana and barley. The overexpression constructs are already available in the lab. The student will undertake the first steps to obtain transgenic plants producing the fungal insecticidal proteins. </w:t>
            </w:r>
          </w:p>
          <w:p w14:paraId="591668C6" w14:textId="77777777" w:rsidR="00015C92" w:rsidRDefault="00015C92" w:rsidP="00F91561">
            <w:pPr>
              <w:spacing w:line="240" w:lineRule="auto"/>
              <w:rPr>
                <w:noProof/>
              </w:rPr>
            </w:pPr>
            <w:r>
              <w:rPr>
                <w:noProof/>
              </w:rPr>
              <w:t xml:space="preserve">Techniques and Methods: </w:t>
            </w:r>
          </w:p>
          <w:p w14:paraId="4BBE5A5B" w14:textId="77777777" w:rsidR="00015C92" w:rsidRDefault="00015C92" w:rsidP="00F91561">
            <w:pPr>
              <w:spacing w:line="240" w:lineRule="auto"/>
              <w:rPr>
                <w:noProof/>
              </w:rPr>
            </w:pPr>
            <w:r>
              <w:rPr>
                <w:noProof/>
              </w:rPr>
              <w:t>1.</w:t>
            </w:r>
            <w:r>
              <w:rPr>
                <w:noProof/>
              </w:rPr>
              <w:tab/>
              <w:t xml:space="preserve">Examining the production of ET and SA: PTR-MS (proton-transfer-reaction mass spectrometry), colorimetry and spectrophotometry, confocal laser microscopy. </w:t>
            </w:r>
          </w:p>
          <w:p w14:paraId="609D3A83" w14:textId="77777777" w:rsidR="00015C92" w:rsidRDefault="00015C92" w:rsidP="00F91561">
            <w:pPr>
              <w:spacing w:line="240" w:lineRule="auto"/>
              <w:rPr>
                <w:noProof/>
              </w:rPr>
            </w:pPr>
            <w:r>
              <w:rPr>
                <w:noProof/>
              </w:rPr>
              <w:t>2.</w:t>
            </w:r>
            <w:r>
              <w:rPr>
                <w:noProof/>
              </w:rPr>
              <w:tab/>
              <w:t>Constructing gene-knockout and complementation vectors: PCR, cloning, bacterial and fungal transformation.</w:t>
            </w:r>
          </w:p>
          <w:p w14:paraId="0ADA8B2F" w14:textId="77777777" w:rsidR="00015C92" w:rsidRDefault="00015C92" w:rsidP="00F91561">
            <w:pPr>
              <w:spacing w:line="240" w:lineRule="auto"/>
              <w:rPr>
                <w:noProof/>
              </w:rPr>
            </w:pPr>
            <w:r>
              <w:rPr>
                <w:noProof/>
              </w:rPr>
              <w:t>3.</w:t>
            </w:r>
            <w:r>
              <w:rPr>
                <w:noProof/>
              </w:rPr>
              <w:tab/>
              <w:t xml:space="preserve">Testing disease resistance: Handling and inoculating plant pathogens and fungal endophytes. Disease symptom assessment. </w:t>
            </w:r>
          </w:p>
          <w:p w14:paraId="7D1A4A82" w14:textId="77777777" w:rsidR="00015C92" w:rsidRDefault="00015C92" w:rsidP="00F91561">
            <w:pPr>
              <w:spacing w:line="240" w:lineRule="auto"/>
              <w:rPr>
                <w:noProof/>
              </w:rPr>
            </w:pPr>
            <w:r>
              <w:rPr>
                <w:noProof/>
              </w:rPr>
              <w:t>4.</w:t>
            </w:r>
            <w:r>
              <w:rPr>
                <w:noProof/>
              </w:rPr>
              <w:tab/>
              <w:t>Comparing the antiherbivore response: Handling insect pests (e.g., aphids, lepidopteran larvae). Survival curves.</w:t>
            </w:r>
          </w:p>
          <w:p w14:paraId="74A96585" w14:textId="77777777" w:rsidR="00015C92" w:rsidRDefault="00015C92" w:rsidP="00F91561">
            <w:pPr>
              <w:spacing w:line="240" w:lineRule="auto"/>
              <w:rPr>
                <w:noProof/>
              </w:rPr>
            </w:pPr>
            <w:r>
              <w:rPr>
                <w:noProof/>
              </w:rPr>
              <w:t>5.</w:t>
            </w:r>
            <w:r>
              <w:rPr>
                <w:noProof/>
              </w:rPr>
              <w:tab/>
              <w:t xml:space="preserve">Overexpression of B. bassiana insecticidal proteins in plants: Agrobacterium-mediated transformation of A. thaliana and barley transformation. </w:t>
            </w:r>
          </w:p>
          <w:p w14:paraId="21A888BE" w14:textId="77777777" w:rsidR="00015C92" w:rsidRDefault="00015C92" w:rsidP="00F91561"/>
        </w:tc>
      </w:tr>
      <w:tr w:rsidR="00015C92" w14:paraId="755E6D72" w14:textId="77777777" w:rsidTr="00F91561">
        <w:tc>
          <w:tcPr>
            <w:tcW w:w="9487" w:type="dxa"/>
          </w:tcPr>
          <w:p w14:paraId="6A9F1E68" w14:textId="77777777" w:rsidR="00015C92" w:rsidRPr="00F95598" w:rsidRDefault="00015C92" w:rsidP="00F91561">
            <w:pPr>
              <w:rPr>
                <w:b/>
                <w:bCs/>
              </w:rPr>
            </w:pPr>
            <w:r>
              <w:rPr>
                <w:b/>
                <w:bCs/>
              </w:rPr>
              <w:lastRenderedPageBreak/>
              <w:t>Bench Supervisor:</w:t>
            </w:r>
          </w:p>
        </w:tc>
      </w:tr>
      <w:tr w:rsidR="00015C92" w14:paraId="1A34B2F2" w14:textId="77777777" w:rsidTr="00F91561">
        <w:tc>
          <w:tcPr>
            <w:tcW w:w="9487" w:type="dxa"/>
          </w:tcPr>
          <w:p w14:paraId="42999D4F" w14:textId="77777777" w:rsidR="00015C92" w:rsidRDefault="00015C92" w:rsidP="00F91561">
            <w:r>
              <w:rPr>
                <w:noProof/>
              </w:rPr>
              <w:t>Almudena Ortiz-Urquiza, Guillermina Mendiondo, and Alex Jennings,</w:t>
            </w:r>
          </w:p>
        </w:tc>
      </w:tr>
      <w:tr w:rsidR="00015C92" w14:paraId="0DF6B5DA" w14:textId="77777777" w:rsidTr="00F91561">
        <w:tc>
          <w:tcPr>
            <w:tcW w:w="9487" w:type="dxa"/>
          </w:tcPr>
          <w:p w14:paraId="72C1C02F" w14:textId="77777777" w:rsidR="00015C92" w:rsidRPr="00FE4988" w:rsidRDefault="00015C92" w:rsidP="00F91561">
            <w:pPr>
              <w:rPr>
                <w:b/>
                <w:bCs/>
              </w:rPr>
            </w:pPr>
            <w:r>
              <w:rPr>
                <w:b/>
                <w:bCs/>
              </w:rPr>
              <w:t>Potential skills that can be developed:</w:t>
            </w:r>
          </w:p>
        </w:tc>
      </w:tr>
      <w:tr w:rsidR="00015C92" w14:paraId="5AFF25C2" w14:textId="77777777" w:rsidTr="00F91561">
        <w:tc>
          <w:tcPr>
            <w:tcW w:w="9487" w:type="dxa"/>
          </w:tcPr>
          <w:p w14:paraId="4CAB1987" w14:textId="14D40B2C" w:rsidR="00015C92" w:rsidRDefault="00015C92" w:rsidP="00015C92">
            <w:pPr>
              <w:spacing w:line="240" w:lineRule="auto"/>
            </w:pPr>
            <w:r>
              <w:rPr>
                <w:noProof/>
              </w:rPr>
              <w:t>confocal microscopy, electron;</w:t>
            </w:r>
            <w:r>
              <w:rPr>
                <w:noProof/>
              </w:rPr>
              <w:t xml:space="preserve"> </w:t>
            </w:r>
            <w:r>
              <w:rPr>
                <w:noProof/>
              </w:rPr>
              <w:t>mass spectrometry;</w:t>
            </w:r>
            <w:r>
              <w:rPr>
                <w:noProof/>
              </w:rPr>
              <w:t xml:space="preserve"> </w:t>
            </w:r>
            <w:r>
              <w:rPr>
                <w:noProof/>
              </w:rPr>
              <w:t>statistics;</w:t>
            </w:r>
            <w:r>
              <w:rPr>
                <w:noProof/>
              </w:rPr>
              <w:t xml:space="preserve"> </w:t>
            </w:r>
            <w:r>
              <w:rPr>
                <w:noProof/>
              </w:rPr>
              <w:t>gene cloning;</w:t>
            </w:r>
            <w:r>
              <w:rPr>
                <w:noProof/>
              </w:rPr>
              <w:t xml:space="preserve"> </w:t>
            </w:r>
            <w:r>
              <w:rPr>
                <w:noProof/>
              </w:rPr>
              <w:t>plant tissue culture;</w:t>
            </w:r>
            <w:r>
              <w:rPr>
                <w:noProof/>
              </w:rPr>
              <w:t xml:space="preserve"> </w:t>
            </w:r>
            <w:r>
              <w:rPr>
                <w:noProof/>
              </w:rPr>
              <w:t>microbiology;</w:t>
            </w:r>
            <w:r>
              <w:rPr>
                <w:noProof/>
              </w:rPr>
              <w:t xml:space="preserve"> </w:t>
            </w:r>
            <w:r>
              <w:rPr>
                <w:noProof/>
              </w:rPr>
              <w:t>biochemistry;</w:t>
            </w:r>
          </w:p>
        </w:tc>
      </w:tr>
      <w:tr w:rsidR="00015C92" w14:paraId="22958956" w14:textId="77777777" w:rsidTr="00F91561">
        <w:tc>
          <w:tcPr>
            <w:tcW w:w="9487" w:type="dxa"/>
          </w:tcPr>
          <w:p w14:paraId="09587BE4" w14:textId="77777777" w:rsidR="00015C92" w:rsidRDefault="00015C92" w:rsidP="00F91561">
            <w:r>
              <w:rPr>
                <w:b/>
                <w:bCs/>
              </w:rPr>
              <w:t>Training opportunities:</w:t>
            </w:r>
          </w:p>
        </w:tc>
      </w:tr>
      <w:tr w:rsidR="00015C92" w14:paraId="29571447" w14:textId="77777777" w:rsidTr="00F91561">
        <w:tc>
          <w:tcPr>
            <w:tcW w:w="9487" w:type="dxa"/>
          </w:tcPr>
          <w:p w14:paraId="5DC261DC" w14:textId="77777777" w:rsidR="00015C92" w:rsidRDefault="00015C92" w:rsidP="00F91561">
            <w:pPr>
              <w:spacing w:line="240" w:lineRule="auto"/>
              <w:rPr>
                <w:noProof/>
              </w:rPr>
            </w:pPr>
            <w:r>
              <w:rPr>
                <w:noProof/>
              </w:rPr>
              <w:t>The student will be trained in data collection and analysis, preparation of publication-quality figures, and presentation skills via lab meetings and weekly one-to-one meetings. Additionaly, specific project-related training opportunities will include:</w:t>
            </w:r>
          </w:p>
          <w:p w14:paraId="053128EA" w14:textId="77777777" w:rsidR="00015C92" w:rsidRDefault="00015C92" w:rsidP="00F91561">
            <w:pPr>
              <w:spacing w:line="240" w:lineRule="auto"/>
              <w:rPr>
                <w:noProof/>
              </w:rPr>
            </w:pPr>
            <w:r>
              <w:rPr>
                <w:noProof/>
              </w:rPr>
              <w:t>•</w:t>
            </w:r>
            <w:r>
              <w:rPr>
                <w:noProof/>
              </w:rPr>
              <w:tab/>
              <w:t>PTR-MS (proton-transfer-reaction mass spectrometry)</w:t>
            </w:r>
          </w:p>
          <w:p w14:paraId="49FB5360" w14:textId="77777777" w:rsidR="00015C92" w:rsidRDefault="00015C92" w:rsidP="00F91561">
            <w:pPr>
              <w:spacing w:line="240" w:lineRule="auto"/>
              <w:rPr>
                <w:noProof/>
              </w:rPr>
            </w:pPr>
            <w:r>
              <w:rPr>
                <w:noProof/>
              </w:rPr>
              <w:t>•</w:t>
            </w:r>
            <w:r>
              <w:rPr>
                <w:noProof/>
              </w:rPr>
              <w:tab/>
              <w:t>Colorimetry and spectrophotometry</w:t>
            </w:r>
          </w:p>
          <w:p w14:paraId="49BA76D2" w14:textId="77777777" w:rsidR="00015C92" w:rsidRDefault="00015C92" w:rsidP="00F91561">
            <w:pPr>
              <w:spacing w:line="240" w:lineRule="auto"/>
              <w:rPr>
                <w:noProof/>
              </w:rPr>
            </w:pPr>
            <w:r>
              <w:rPr>
                <w:noProof/>
              </w:rPr>
              <w:t>•</w:t>
            </w:r>
            <w:r>
              <w:rPr>
                <w:noProof/>
              </w:rPr>
              <w:tab/>
              <w:t>Confocal laser microscopy</w:t>
            </w:r>
          </w:p>
          <w:p w14:paraId="116D342D" w14:textId="77777777" w:rsidR="00015C92" w:rsidRDefault="00015C92" w:rsidP="00F91561">
            <w:pPr>
              <w:spacing w:line="240" w:lineRule="auto"/>
              <w:rPr>
                <w:noProof/>
              </w:rPr>
            </w:pPr>
            <w:r>
              <w:rPr>
                <w:noProof/>
              </w:rPr>
              <w:t>•</w:t>
            </w:r>
            <w:r>
              <w:rPr>
                <w:noProof/>
              </w:rPr>
              <w:tab/>
              <w:t>PCR</w:t>
            </w:r>
          </w:p>
          <w:p w14:paraId="25776CAE" w14:textId="77777777" w:rsidR="00015C92" w:rsidRDefault="00015C92" w:rsidP="00F91561">
            <w:pPr>
              <w:spacing w:line="240" w:lineRule="auto"/>
              <w:rPr>
                <w:noProof/>
              </w:rPr>
            </w:pPr>
            <w:r>
              <w:rPr>
                <w:noProof/>
              </w:rPr>
              <w:t>•</w:t>
            </w:r>
            <w:r>
              <w:rPr>
                <w:noProof/>
              </w:rPr>
              <w:tab/>
              <w:t>Cloning</w:t>
            </w:r>
          </w:p>
          <w:p w14:paraId="719109E1" w14:textId="77777777" w:rsidR="00015C92" w:rsidRDefault="00015C92" w:rsidP="00F91561">
            <w:pPr>
              <w:spacing w:line="240" w:lineRule="auto"/>
              <w:rPr>
                <w:noProof/>
              </w:rPr>
            </w:pPr>
            <w:r>
              <w:rPr>
                <w:noProof/>
              </w:rPr>
              <w:t>•</w:t>
            </w:r>
            <w:r>
              <w:rPr>
                <w:noProof/>
              </w:rPr>
              <w:tab/>
              <w:t>Bacterial and fungal transformation.</w:t>
            </w:r>
          </w:p>
          <w:p w14:paraId="6434DF31" w14:textId="77777777" w:rsidR="00015C92" w:rsidRDefault="00015C92" w:rsidP="00F91561">
            <w:pPr>
              <w:spacing w:line="240" w:lineRule="auto"/>
              <w:rPr>
                <w:noProof/>
              </w:rPr>
            </w:pPr>
            <w:r>
              <w:rPr>
                <w:noProof/>
              </w:rPr>
              <w:t>•</w:t>
            </w:r>
            <w:r>
              <w:rPr>
                <w:noProof/>
              </w:rPr>
              <w:tab/>
              <w:t xml:space="preserve">Handling and inoculating plant pathogens and fungal endophytes. </w:t>
            </w:r>
          </w:p>
          <w:p w14:paraId="5B634EB7" w14:textId="77777777" w:rsidR="00015C92" w:rsidRDefault="00015C92" w:rsidP="00F91561">
            <w:pPr>
              <w:spacing w:line="240" w:lineRule="auto"/>
              <w:rPr>
                <w:noProof/>
              </w:rPr>
            </w:pPr>
            <w:r>
              <w:rPr>
                <w:noProof/>
              </w:rPr>
              <w:t>•</w:t>
            </w:r>
            <w:r>
              <w:rPr>
                <w:noProof/>
              </w:rPr>
              <w:tab/>
              <w:t xml:space="preserve">Disease symptom assessment. </w:t>
            </w:r>
          </w:p>
          <w:p w14:paraId="0BCF9C40" w14:textId="77777777" w:rsidR="00015C92" w:rsidRDefault="00015C92" w:rsidP="00F91561">
            <w:pPr>
              <w:spacing w:line="240" w:lineRule="auto"/>
              <w:rPr>
                <w:noProof/>
              </w:rPr>
            </w:pPr>
            <w:r>
              <w:rPr>
                <w:noProof/>
              </w:rPr>
              <w:lastRenderedPageBreak/>
              <w:t>•</w:t>
            </w:r>
            <w:r>
              <w:rPr>
                <w:noProof/>
              </w:rPr>
              <w:tab/>
              <w:t>Handling insect pests</w:t>
            </w:r>
          </w:p>
          <w:p w14:paraId="36A9E797" w14:textId="77777777" w:rsidR="00015C92" w:rsidRDefault="00015C92" w:rsidP="00F91561">
            <w:pPr>
              <w:spacing w:line="240" w:lineRule="auto"/>
              <w:rPr>
                <w:noProof/>
              </w:rPr>
            </w:pPr>
            <w:r>
              <w:rPr>
                <w:noProof/>
              </w:rPr>
              <w:t>•</w:t>
            </w:r>
            <w:r>
              <w:rPr>
                <w:noProof/>
              </w:rPr>
              <w:tab/>
              <w:t>Survival curves.</w:t>
            </w:r>
          </w:p>
          <w:p w14:paraId="2F26695E" w14:textId="77777777" w:rsidR="00015C92" w:rsidRDefault="00015C92" w:rsidP="00F91561">
            <w:pPr>
              <w:spacing w:line="240" w:lineRule="auto"/>
              <w:rPr>
                <w:noProof/>
              </w:rPr>
            </w:pPr>
            <w:r>
              <w:rPr>
                <w:noProof/>
              </w:rPr>
              <w:t>•</w:t>
            </w:r>
            <w:r>
              <w:rPr>
                <w:noProof/>
              </w:rPr>
              <w:tab/>
              <w:t>Agrobacterium-mediated transformation of A. thaliana</w:t>
            </w:r>
          </w:p>
          <w:p w14:paraId="6FA508FF" w14:textId="77777777" w:rsidR="00015C92" w:rsidRDefault="00015C92" w:rsidP="00F91561">
            <w:r>
              <w:rPr>
                <w:noProof/>
              </w:rPr>
              <w:t>•</w:t>
            </w:r>
            <w:r>
              <w:rPr>
                <w:noProof/>
              </w:rPr>
              <w:tab/>
              <w:t>Barley transformation</w:t>
            </w:r>
          </w:p>
        </w:tc>
      </w:tr>
    </w:tbl>
    <w:p w14:paraId="19A15032" w14:textId="77777777" w:rsidR="00015C92" w:rsidRDefault="00015C92" w:rsidP="00015C92"/>
    <w:p w14:paraId="5C8E59FD" w14:textId="77777777" w:rsidR="00015C92" w:rsidRDefault="00015C92" w:rsidP="00015C92">
      <w:pPr>
        <w:sectPr w:rsidR="00015C92" w:rsidSect="00015C92">
          <w:pgSz w:w="12240" w:h="15840"/>
          <w:pgMar w:top="1440" w:right="1325" w:bottom="1440" w:left="1418" w:header="720" w:footer="720" w:gutter="0"/>
          <w:pgNumType w:start="1"/>
          <w:cols w:space="720"/>
          <w:docGrid w:linePitch="360"/>
        </w:sectPr>
      </w:pPr>
    </w:p>
    <w:p w14:paraId="25BE5B16" w14:textId="77777777" w:rsidR="00197231" w:rsidRDefault="00197231"/>
    <w:sectPr w:rsidR="0019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92"/>
    <w:rsid w:val="00015C92"/>
    <w:rsid w:val="00110DAA"/>
    <w:rsid w:val="00197231"/>
    <w:rsid w:val="001B0A1E"/>
    <w:rsid w:val="0030330A"/>
    <w:rsid w:val="00C3719B"/>
    <w:rsid w:val="00CD51D1"/>
    <w:rsid w:val="00EE425B"/>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EB7"/>
  <w15:chartTrackingRefBased/>
  <w15:docId w15:val="{AABD69CA-C5B5-4AC9-BCE9-E82D098D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92"/>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015C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015C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015C92"/>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015C92"/>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015C92"/>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015C92"/>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015C92"/>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015C92"/>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015C92"/>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5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C92"/>
    <w:rPr>
      <w:rFonts w:eastAsiaTheme="majorEastAsia" w:cstheme="majorBidi"/>
      <w:color w:val="272727" w:themeColor="text1" w:themeTint="D8"/>
    </w:rPr>
  </w:style>
  <w:style w:type="paragraph" w:styleId="Title">
    <w:name w:val="Title"/>
    <w:basedOn w:val="Normal"/>
    <w:next w:val="Normal"/>
    <w:link w:val="TitleChar"/>
    <w:uiPriority w:val="10"/>
    <w:qFormat/>
    <w:rsid w:val="00015C92"/>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015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C92"/>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015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C92"/>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015C92"/>
    <w:rPr>
      <w:i/>
      <w:iCs/>
      <w:color w:val="404040" w:themeColor="text1" w:themeTint="BF"/>
    </w:rPr>
  </w:style>
  <w:style w:type="paragraph" w:styleId="ListParagraph">
    <w:name w:val="List Paragraph"/>
    <w:basedOn w:val="Normal"/>
    <w:uiPriority w:val="34"/>
    <w:qFormat/>
    <w:rsid w:val="00015C92"/>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015C92"/>
    <w:rPr>
      <w:i/>
      <w:iCs/>
      <w:color w:val="0F4761" w:themeColor="accent1" w:themeShade="BF"/>
    </w:rPr>
  </w:style>
  <w:style w:type="paragraph" w:styleId="IntenseQuote">
    <w:name w:val="Intense Quote"/>
    <w:basedOn w:val="Normal"/>
    <w:next w:val="Normal"/>
    <w:link w:val="IntenseQuoteChar"/>
    <w:uiPriority w:val="30"/>
    <w:qFormat/>
    <w:rsid w:val="00015C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015C92"/>
    <w:rPr>
      <w:i/>
      <w:iCs/>
      <w:color w:val="0F4761" w:themeColor="accent1" w:themeShade="BF"/>
    </w:rPr>
  </w:style>
  <w:style w:type="character" w:styleId="IntenseReference">
    <w:name w:val="Intense Reference"/>
    <w:basedOn w:val="DefaultParagraphFont"/>
    <w:uiPriority w:val="32"/>
    <w:qFormat/>
    <w:rsid w:val="00015C92"/>
    <w:rPr>
      <w:b/>
      <w:bCs/>
      <w:smallCaps/>
      <w:color w:val="0F4761" w:themeColor="accent1" w:themeShade="BF"/>
      <w:spacing w:val="5"/>
    </w:rPr>
  </w:style>
  <w:style w:type="table" w:styleId="TableGrid">
    <w:name w:val="Table Grid"/>
    <w:basedOn w:val="TableNormal"/>
    <w:uiPriority w:val="39"/>
    <w:rsid w:val="00015C92"/>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xsi:nil="true"/>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AF69D5-64FC-4417-BD58-0E1596EC5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C1CFB-38DB-46D6-9042-7E7E013E6114}">
  <ds:schemaRefs>
    <ds:schemaRef ds:uri="http://schemas.microsoft.com/sharepoint/v3/contenttype/forms"/>
  </ds:schemaRefs>
</ds:datastoreItem>
</file>

<file path=customXml/itemProps3.xml><?xml version="1.0" encoding="utf-8"?>
<ds:datastoreItem xmlns:ds="http://schemas.openxmlformats.org/officeDocument/2006/customXml" ds:itemID="{4B970C2D-73A7-41CF-AAC8-ED08C8036816}">
  <ds:schemaRefs>
    <ds:schemaRef ds:uri="http://schemas.microsoft.com/office/2006/documentManagement/types"/>
    <ds:schemaRef ds:uri="http://www.w3.org/XML/1998/namespace"/>
    <ds:schemaRef ds:uri="http://schemas.microsoft.com/office/2006/metadata/properties"/>
    <ds:schemaRef ds:uri="5765dd33-e124-4a0e-a950-e0c4e8c7276c"/>
    <ds:schemaRef ds:uri="d5bb1f6e-ddef-4cf8-907b-260a4ceba171"/>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4120</Characters>
  <Application>Microsoft Office Word</Application>
  <DocSecurity>0</DocSecurity>
  <Lines>34</Lines>
  <Paragraphs>9</Paragraphs>
  <ScaleCrop>false</ScaleCrop>
  <Company>University of Nottingham</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2</cp:revision>
  <dcterms:created xsi:type="dcterms:W3CDTF">2025-03-12T15:17:00Z</dcterms:created>
  <dcterms:modified xsi:type="dcterms:W3CDTF">2025-03-12T15:19:00Z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y fmtid="{D5CDD505-2E9C-101B-9397-08002B2CF9AE}" pid="3" name="MediaServiceImageTags">
    <vt:lpwstr/>
  </property>
</Properties>
</file>