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BBFD" w14:textId="77777777" w:rsidR="00C8772D" w:rsidRDefault="00C8772D" w:rsidP="00C8772D">
      <w:pPr>
        <w:pStyle w:val="Heading2"/>
      </w:pPr>
      <w:r>
        <w:rPr>
          <w:noProof/>
        </w:rPr>
        <w:drawing>
          <wp:anchor distT="0" distB="0" distL="114300" distR="114300" simplePos="0" relativeHeight="251659264" behindDoc="1" locked="0" layoutInCell="1" allowOverlap="1" wp14:anchorId="7FA302AD" wp14:editId="2BAA93CC">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671857560" name="Picture 1671857560"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9F4B0C8" wp14:editId="5374ABD2">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1309771337" name="Picture 1309771337"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71337" name="Picture 1309771337"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7BBFADBA" w14:textId="77777777" w:rsidR="00C8772D" w:rsidRDefault="00C8772D" w:rsidP="00C8772D"/>
    <w:tbl>
      <w:tblPr>
        <w:tblStyle w:val="TableGrid"/>
        <w:tblW w:w="0" w:type="auto"/>
        <w:tblLook w:val="04A0" w:firstRow="1" w:lastRow="0" w:firstColumn="1" w:lastColumn="0" w:noHBand="0" w:noVBand="1"/>
      </w:tblPr>
      <w:tblGrid>
        <w:gridCol w:w="9016"/>
      </w:tblGrid>
      <w:tr w:rsidR="00C8772D" w14:paraId="4721EF06" w14:textId="77777777" w:rsidTr="00F91561">
        <w:tc>
          <w:tcPr>
            <w:tcW w:w="9487" w:type="dxa"/>
          </w:tcPr>
          <w:p w14:paraId="0378AA17" w14:textId="77777777" w:rsidR="00C8772D" w:rsidRPr="00F555B1" w:rsidRDefault="00C8772D" w:rsidP="00F91561">
            <w:pPr>
              <w:rPr>
                <w:b/>
                <w:bCs/>
              </w:rPr>
            </w:pPr>
            <w:r>
              <w:rPr>
                <w:b/>
                <w:bCs/>
              </w:rPr>
              <w:t>Name of Supervisor:</w:t>
            </w:r>
            <w:r w:rsidRPr="00F555B1">
              <w:rPr>
                <w:b/>
                <w:bCs/>
              </w:rPr>
              <w:t xml:space="preserve"> </w:t>
            </w:r>
          </w:p>
        </w:tc>
      </w:tr>
      <w:tr w:rsidR="00C8772D" w14:paraId="32EE899E" w14:textId="77777777" w:rsidTr="00F91561">
        <w:tc>
          <w:tcPr>
            <w:tcW w:w="9487" w:type="dxa"/>
          </w:tcPr>
          <w:p w14:paraId="7BDB9BA2" w14:textId="77777777" w:rsidR="00C8772D" w:rsidRDefault="00C8772D" w:rsidP="00F91561">
            <w:r>
              <w:rPr>
                <w:noProof/>
              </w:rPr>
              <w:t>Daphiny Pottmaier</w:t>
            </w:r>
          </w:p>
        </w:tc>
      </w:tr>
      <w:tr w:rsidR="00C8772D" w14:paraId="30BCE9E3" w14:textId="77777777" w:rsidTr="00F91561">
        <w:tc>
          <w:tcPr>
            <w:tcW w:w="9487" w:type="dxa"/>
          </w:tcPr>
          <w:p w14:paraId="04223E4E" w14:textId="77777777" w:rsidR="00C8772D" w:rsidRPr="00232224" w:rsidRDefault="00C8772D" w:rsidP="00F91561">
            <w:pPr>
              <w:rPr>
                <w:b/>
                <w:bCs/>
              </w:rPr>
            </w:pPr>
            <w:r>
              <w:rPr>
                <w:b/>
                <w:bCs/>
              </w:rPr>
              <w:t xml:space="preserve">Research Theme: </w:t>
            </w:r>
          </w:p>
        </w:tc>
      </w:tr>
      <w:tr w:rsidR="00C8772D" w14:paraId="033D1B15" w14:textId="77777777" w:rsidTr="00F91561">
        <w:tc>
          <w:tcPr>
            <w:tcW w:w="9487" w:type="dxa"/>
          </w:tcPr>
          <w:p w14:paraId="5A65821B" w14:textId="77777777" w:rsidR="00C8772D" w:rsidRDefault="00C8772D" w:rsidP="00F91561">
            <w:r>
              <w:rPr>
                <w:noProof/>
              </w:rPr>
              <w:t>Bioscience for Health</w:t>
            </w:r>
          </w:p>
        </w:tc>
      </w:tr>
      <w:tr w:rsidR="00C8772D" w14:paraId="1542B8E2" w14:textId="77777777" w:rsidTr="00F91561">
        <w:tc>
          <w:tcPr>
            <w:tcW w:w="9487" w:type="dxa"/>
          </w:tcPr>
          <w:p w14:paraId="5A449CDD" w14:textId="77777777" w:rsidR="00C8772D" w:rsidRPr="00232224" w:rsidRDefault="00C8772D" w:rsidP="00F91561">
            <w:pPr>
              <w:rPr>
                <w:b/>
                <w:bCs/>
              </w:rPr>
            </w:pPr>
            <w:r>
              <w:rPr>
                <w:b/>
                <w:bCs/>
              </w:rPr>
              <w:t>Location of Project:</w:t>
            </w:r>
          </w:p>
        </w:tc>
      </w:tr>
      <w:tr w:rsidR="00C8772D" w14:paraId="23D61603" w14:textId="77777777" w:rsidTr="00F91561">
        <w:tc>
          <w:tcPr>
            <w:tcW w:w="9487" w:type="dxa"/>
          </w:tcPr>
          <w:p w14:paraId="3BBB847A" w14:textId="77777777" w:rsidR="00C8772D" w:rsidRDefault="00C8772D" w:rsidP="00F91561">
            <w:r>
              <w:rPr>
                <w:noProof/>
              </w:rPr>
              <w:t>NTU, SST Clifton Campus. ENG121, ENG121A</w:t>
            </w:r>
          </w:p>
        </w:tc>
      </w:tr>
    </w:tbl>
    <w:p w14:paraId="671734D3" w14:textId="77777777" w:rsidR="00C8772D" w:rsidRPr="00F555B1" w:rsidRDefault="00C8772D" w:rsidP="00C8772D"/>
    <w:tbl>
      <w:tblPr>
        <w:tblStyle w:val="TableGrid"/>
        <w:tblW w:w="0" w:type="auto"/>
        <w:tblLook w:val="04A0" w:firstRow="1" w:lastRow="0" w:firstColumn="1" w:lastColumn="0" w:noHBand="0" w:noVBand="1"/>
      </w:tblPr>
      <w:tblGrid>
        <w:gridCol w:w="9016"/>
      </w:tblGrid>
      <w:tr w:rsidR="00C8772D" w14:paraId="73DE11FE" w14:textId="77777777" w:rsidTr="00F91561">
        <w:tc>
          <w:tcPr>
            <w:tcW w:w="9487" w:type="dxa"/>
          </w:tcPr>
          <w:p w14:paraId="0052644A" w14:textId="77777777" w:rsidR="00C8772D" w:rsidRPr="002B7057" w:rsidRDefault="00C8772D" w:rsidP="00F91561">
            <w:pPr>
              <w:rPr>
                <w:b/>
                <w:bCs/>
              </w:rPr>
            </w:pPr>
            <w:r>
              <w:rPr>
                <w:b/>
                <w:bCs/>
              </w:rPr>
              <w:t>Project Title:</w:t>
            </w:r>
          </w:p>
        </w:tc>
      </w:tr>
      <w:tr w:rsidR="00C8772D" w14:paraId="2AE61D9D" w14:textId="77777777" w:rsidTr="00F91561">
        <w:tc>
          <w:tcPr>
            <w:tcW w:w="9487" w:type="dxa"/>
          </w:tcPr>
          <w:p w14:paraId="29653670" w14:textId="77777777" w:rsidR="00C8772D" w:rsidRDefault="00C8772D" w:rsidP="00F91561">
            <w:r>
              <w:rPr>
                <w:noProof/>
              </w:rPr>
              <w:t>The production and characterisation of microplastics to study their effect on cellular response</w:t>
            </w:r>
          </w:p>
        </w:tc>
      </w:tr>
      <w:tr w:rsidR="00C8772D" w14:paraId="0DCD20D3" w14:textId="77777777" w:rsidTr="00F91561">
        <w:tc>
          <w:tcPr>
            <w:tcW w:w="9487" w:type="dxa"/>
          </w:tcPr>
          <w:p w14:paraId="590AC8FB" w14:textId="77777777" w:rsidR="00C8772D" w:rsidRPr="005601BD" w:rsidRDefault="00C8772D" w:rsidP="00F91561">
            <w:pPr>
              <w:rPr>
                <w:b/>
                <w:bCs/>
              </w:rPr>
            </w:pPr>
            <w:r>
              <w:rPr>
                <w:b/>
                <w:bCs/>
              </w:rPr>
              <w:t>Project Description:</w:t>
            </w:r>
          </w:p>
        </w:tc>
      </w:tr>
      <w:tr w:rsidR="00C8772D" w14:paraId="72AD820F" w14:textId="77777777" w:rsidTr="00F91561">
        <w:tc>
          <w:tcPr>
            <w:tcW w:w="9487" w:type="dxa"/>
          </w:tcPr>
          <w:p w14:paraId="1170F7C0" w14:textId="77777777" w:rsidR="00C8772D" w:rsidRDefault="00C8772D" w:rsidP="00F91561">
            <w:pPr>
              <w:spacing w:line="240" w:lineRule="auto"/>
              <w:rPr>
                <w:noProof/>
              </w:rPr>
            </w:pPr>
            <w:r>
              <w:rPr>
                <w:noProof/>
              </w:rPr>
              <w:t>This project aims to validate a procedure to produce microplastics and test their impact on cellular health and function. The study will assess microplastics properties and their correlation to their effects on human cells, focusing on mechanisms of oxidative stress, inflammation, and genetic damage. Human cells  will be exposed to various concentrations of microplastics (does response) for varying time periods (time response), and biochemical assays will measure cell viability, oxidative stress markers, metabolic activity and cytotoxicity. The findings will add insights to an emergent field of research and discussion about the impact of microplastics on public health and future generation.</w:t>
            </w:r>
          </w:p>
          <w:p w14:paraId="35DD43F6" w14:textId="77777777" w:rsidR="00C8772D" w:rsidRDefault="00C8772D" w:rsidP="00F91561">
            <w:pPr>
              <w:spacing w:line="240" w:lineRule="auto"/>
              <w:rPr>
                <w:noProof/>
              </w:rPr>
            </w:pPr>
            <w:r>
              <w:rPr>
                <w:noProof/>
              </w:rPr>
              <w:t>Stage 1: preparation of microplastics</w:t>
            </w:r>
          </w:p>
          <w:p w14:paraId="04850B96" w14:textId="77777777" w:rsidR="00C8772D" w:rsidRDefault="00C8772D" w:rsidP="00F91561">
            <w:pPr>
              <w:spacing w:line="240" w:lineRule="auto"/>
              <w:rPr>
                <w:noProof/>
              </w:rPr>
            </w:pPr>
            <w:r>
              <w:rPr>
                <w:noProof/>
              </w:rPr>
              <w:t>Weeks # 1, 2, 7</w:t>
            </w:r>
          </w:p>
          <w:p w14:paraId="7F1A3D73" w14:textId="77777777" w:rsidR="00C8772D" w:rsidRDefault="00C8772D" w:rsidP="00F91561">
            <w:pPr>
              <w:spacing w:line="240" w:lineRule="auto"/>
              <w:rPr>
                <w:noProof/>
              </w:rPr>
            </w:pPr>
            <w:r>
              <w:rPr>
                <w:noProof/>
              </w:rPr>
              <w:t xml:space="preserve">Previously patented technique will be used to produce microplastic particles from commonly used plastics. </w:t>
            </w:r>
          </w:p>
          <w:p w14:paraId="2CB45B51" w14:textId="77777777" w:rsidR="00C8772D" w:rsidRDefault="00C8772D" w:rsidP="00F91561">
            <w:pPr>
              <w:spacing w:line="240" w:lineRule="auto"/>
              <w:rPr>
                <w:noProof/>
              </w:rPr>
            </w:pPr>
            <w:r>
              <w:rPr>
                <w:noProof/>
              </w:rPr>
              <w:t>Stage 2: characterisation of microplastics</w:t>
            </w:r>
          </w:p>
          <w:p w14:paraId="1E1FF3B1" w14:textId="77777777" w:rsidR="00C8772D" w:rsidRDefault="00C8772D" w:rsidP="00F91561">
            <w:pPr>
              <w:spacing w:line="240" w:lineRule="auto"/>
              <w:rPr>
                <w:noProof/>
              </w:rPr>
            </w:pPr>
            <w:r>
              <w:rPr>
                <w:noProof/>
              </w:rPr>
              <w:t>Weeks # 3, 6, 9</w:t>
            </w:r>
          </w:p>
          <w:p w14:paraId="4AD488CB" w14:textId="77777777" w:rsidR="00C8772D" w:rsidRDefault="00C8772D" w:rsidP="00F91561">
            <w:pPr>
              <w:spacing w:line="240" w:lineRule="auto"/>
              <w:rPr>
                <w:noProof/>
              </w:rPr>
            </w:pPr>
            <w:r>
              <w:rPr>
                <w:noProof/>
              </w:rPr>
              <w:t xml:space="preserve">Characterisation of microplastics will be conducted in triplicates with focus on understanding their degradation and related physical and chemical properties in corelation to potential health risks due to cellular responses. </w:t>
            </w:r>
          </w:p>
          <w:p w14:paraId="5690B620" w14:textId="77777777" w:rsidR="00C8772D" w:rsidRDefault="00C8772D" w:rsidP="00F91561">
            <w:pPr>
              <w:spacing w:line="240" w:lineRule="auto"/>
              <w:rPr>
                <w:noProof/>
              </w:rPr>
            </w:pPr>
            <w:r>
              <w:rPr>
                <w:noProof/>
              </w:rPr>
              <w:t xml:space="preserve">Physical characteristics such as size, shape and morphology will be measured using confocal and scanning electrical microscopy. </w:t>
            </w:r>
          </w:p>
          <w:p w14:paraId="08A7D66D" w14:textId="77777777" w:rsidR="00C8772D" w:rsidRDefault="00C8772D" w:rsidP="00F91561">
            <w:pPr>
              <w:spacing w:line="240" w:lineRule="auto"/>
              <w:rPr>
                <w:noProof/>
              </w:rPr>
            </w:pPr>
            <w:r>
              <w:rPr>
                <w:noProof/>
              </w:rPr>
              <w:t xml:space="preserve">Chemical characteristics such as chemical bounds and vicinity will be obtained using infrared spectroscopy combined with thermogravimetry and mass spectroscopy. </w:t>
            </w:r>
          </w:p>
          <w:p w14:paraId="29D9BD2F" w14:textId="77777777" w:rsidR="00C8772D" w:rsidRDefault="00C8772D" w:rsidP="00F91561">
            <w:pPr>
              <w:spacing w:line="240" w:lineRule="auto"/>
              <w:rPr>
                <w:noProof/>
              </w:rPr>
            </w:pPr>
            <w:r>
              <w:rPr>
                <w:noProof/>
              </w:rPr>
              <w:t>Training and Analysis time schedule: The induction and training to use these instruments may take up to two days. The analysis of six samples per batch will take about half day. Thus, the total number of samples will be limited to 24 (2 days) to manage risks with equipment availability and other issues.</w:t>
            </w:r>
          </w:p>
          <w:p w14:paraId="213B86A6" w14:textId="77777777" w:rsidR="00C8772D" w:rsidRDefault="00C8772D" w:rsidP="00F91561">
            <w:pPr>
              <w:spacing w:line="240" w:lineRule="auto"/>
              <w:rPr>
                <w:noProof/>
              </w:rPr>
            </w:pPr>
            <w:r>
              <w:rPr>
                <w:noProof/>
              </w:rPr>
              <w:t xml:space="preserve">Stage 3: dose-response and time response studies to identify the effect of microplastics on essential cellular responses  </w:t>
            </w:r>
          </w:p>
          <w:p w14:paraId="03A9483A" w14:textId="77777777" w:rsidR="00C8772D" w:rsidRDefault="00C8772D" w:rsidP="00F91561">
            <w:pPr>
              <w:spacing w:line="240" w:lineRule="auto"/>
              <w:rPr>
                <w:noProof/>
              </w:rPr>
            </w:pPr>
            <w:r>
              <w:rPr>
                <w:noProof/>
              </w:rPr>
              <w:lastRenderedPageBreak/>
              <w:t>Weeks # 4, 5, 8</w:t>
            </w:r>
          </w:p>
          <w:p w14:paraId="10449C36" w14:textId="77777777" w:rsidR="00C8772D" w:rsidRDefault="00C8772D" w:rsidP="00F91561">
            <w:pPr>
              <w:spacing w:line="240" w:lineRule="auto"/>
              <w:rPr>
                <w:noProof/>
              </w:rPr>
            </w:pPr>
            <w:r>
              <w:rPr>
                <w:noProof/>
              </w:rPr>
              <w:t xml:space="preserve">Mammalian cells cultured in 2D and 3D will be incubated with various concentrations of microplastics over a range of different times. Cell and medium samples will be analysed for cell metabolic activity, cell viability, cytotoxicity. 2D and 3D samples will be imaged to visualise the microplastic update by the cells and to identify the location of storage within the cells. This will help to identify cellular pathways that might be affected by microplastic uptake and inform future research applications. </w:t>
            </w:r>
          </w:p>
          <w:p w14:paraId="33296D81" w14:textId="77777777" w:rsidR="00C8772D" w:rsidRDefault="00C8772D" w:rsidP="00F91561">
            <w:pPr>
              <w:spacing w:line="240" w:lineRule="auto"/>
              <w:rPr>
                <w:noProof/>
              </w:rPr>
            </w:pPr>
            <w:r>
              <w:rPr>
                <w:noProof/>
              </w:rPr>
              <w:t xml:space="preserve">Stage 4: data analysis, report writing and review </w:t>
            </w:r>
          </w:p>
          <w:p w14:paraId="575AB5F1" w14:textId="77777777" w:rsidR="00C8772D" w:rsidRDefault="00C8772D" w:rsidP="00F91561">
            <w:pPr>
              <w:spacing w:line="240" w:lineRule="auto"/>
              <w:rPr>
                <w:noProof/>
              </w:rPr>
            </w:pPr>
            <w:r>
              <w:rPr>
                <w:noProof/>
              </w:rPr>
              <w:t>Week #10</w:t>
            </w:r>
          </w:p>
          <w:p w14:paraId="4E02D4B6" w14:textId="77777777" w:rsidR="00C8772D" w:rsidRDefault="00C8772D" w:rsidP="00F91561">
            <w:pPr>
              <w:spacing w:line="240" w:lineRule="auto"/>
              <w:rPr>
                <w:noProof/>
              </w:rPr>
            </w:pPr>
            <w:r>
              <w:rPr>
                <w:noProof/>
              </w:rPr>
              <w:t xml:space="preserve">The student will analyse and compile all quantitative and qualitative data and prepare a journal-publication style report. </w:t>
            </w:r>
          </w:p>
          <w:p w14:paraId="5DA7351D" w14:textId="77777777" w:rsidR="00C8772D" w:rsidRDefault="00C8772D" w:rsidP="00F91561"/>
        </w:tc>
      </w:tr>
      <w:tr w:rsidR="00C8772D" w14:paraId="50BB15F8" w14:textId="77777777" w:rsidTr="00F91561">
        <w:tc>
          <w:tcPr>
            <w:tcW w:w="9487" w:type="dxa"/>
          </w:tcPr>
          <w:p w14:paraId="05636234" w14:textId="77777777" w:rsidR="00C8772D" w:rsidRPr="00F95598" w:rsidRDefault="00C8772D" w:rsidP="00F91561">
            <w:pPr>
              <w:rPr>
                <w:b/>
                <w:bCs/>
              </w:rPr>
            </w:pPr>
            <w:r>
              <w:rPr>
                <w:b/>
                <w:bCs/>
              </w:rPr>
              <w:lastRenderedPageBreak/>
              <w:t>Bench Supervisor:</w:t>
            </w:r>
          </w:p>
        </w:tc>
      </w:tr>
      <w:tr w:rsidR="00C8772D" w14:paraId="150CD82E" w14:textId="77777777" w:rsidTr="00F91561">
        <w:tc>
          <w:tcPr>
            <w:tcW w:w="9487" w:type="dxa"/>
          </w:tcPr>
          <w:p w14:paraId="3446A3F6" w14:textId="77777777" w:rsidR="00C8772D" w:rsidRDefault="00C8772D" w:rsidP="00F91561">
            <w:r>
              <w:rPr>
                <w:noProof/>
              </w:rPr>
              <w:t>Yvonne Reinwald; Gareth Cave</w:t>
            </w:r>
          </w:p>
        </w:tc>
      </w:tr>
      <w:tr w:rsidR="00C8772D" w14:paraId="068619A3" w14:textId="77777777" w:rsidTr="00F91561">
        <w:tc>
          <w:tcPr>
            <w:tcW w:w="9487" w:type="dxa"/>
          </w:tcPr>
          <w:p w14:paraId="28CE1EF3" w14:textId="77777777" w:rsidR="00C8772D" w:rsidRPr="00FE4988" w:rsidRDefault="00C8772D" w:rsidP="00F91561">
            <w:pPr>
              <w:rPr>
                <w:b/>
                <w:bCs/>
              </w:rPr>
            </w:pPr>
            <w:r>
              <w:rPr>
                <w:b/>
                <w:bCs/>
              </w:rPr>
              <w:t>Potential skills that can be developed:</w:t>
            </w:r>
          </w:p>
        </w:tc>
      </w:tr>
      <w:tr w:rsidR="00C8772D" w14:paraId="4022C47C" w14:textId="77777777" w:rsidTr="00F91561">
        <w:tc>
          <w:tcPr>
            <w:tcW w:w="9487" w:type="dxa"/>
          </w:tcPr>
          <w:p w14:paraId="61922F05" w14:textId="6C72A153" w:rsidR="00C8772D" w:rsidRDefault="00C8772D" w:rsidP="00C8772D">
            <w:pPr>
              <w:spacing w:line="240" w:lineRule="auto"/>
            </w:pPr>
            <w:r>
              <w:rPr>
                <w:noProof/>
              </w:rPr>
              <w:t>mass spectrometry;</w:t>
            </w:r>
            <w:r>
              <w:rPr>
                <w:noProof/>
              </w:rPr>
              <w:t xml:space="preserve"> </w:t>
            </w:r>
            <w:r>
              <w:rPr>
                <w:noProof/>
              </w:rPr>
              <w:t>confocal microscopy, electron;cell biology;</w:t>
            </w:r>
            <w:r>
              <w:rPr>
                <w:noProof/>
              </w:rPr>
              <w:t xml:space="preserve"> </w:t>
            </w:r>
            <w:r>
              <w:rPr>
                <w:noProof/>
              </w:rPr>
              <w:t>microplastic production, particle characterisation, 3D in vitro tissue culture, brightfield and fluorescence microscopy;biochemistry;in vivo testing;</w:t>
            </w:r>
          </w:p>
        </w:tc>
      </w:tr>
      <w:tr w:rsidR="00C8772D" w14:paraId="5F55AE02" w14:textId="77777777" w:rsidTr="00F91561">
        <w:tc>
          <w:tcPr>
            <w:tcW w:w="9487" w:type="dxa"/>
          </w:tcPr>
          <w:p w14:paraId="10D89195" w14:textId="77777777" w:rsidR="00C8772D" w:rsidRDefault="00C8772D" w:rsidP="00C8772D">
            <w:pPr>
              <w:spacing w:line="240" w:lineRule="auto"/>
            </w:pPr>
            <w:r>
              <w:rPr>
                <w:b/>
                <w:bCs/>
              </w:rPr>
              <w:t>Training opportunities:</w:t>
            </w:r>
          </w:p>
        </w:tc>
      </w:tr>
      <w:tr w:rsidR="00C8772D" w14:paraId="54E66332" w14:textId="77777777" w:rsidTr="00F91561">
        <w:tc>
          <w:tcPr>
            <w:tcW w:w="9487" w:type="dxa"/>
          </w:tcPr>
          <w:p w14:paraId="75017B5C" w14:textId="77777777" w:rsidR="00C8772D" w:rsidRDefault="00C8772D" w:rsidP="00C8772D">
            <w:pPr>
              <w:spacing w:line="240" w:lineRule="auto"/>
            </w:pPr>
            <w:r>
              <w:rPr>
                <w:noProof/>
              </w:rPr>
              <w:t>The student will learn techniques related to the fabrication of microplastics (such as microfluid system processing)  and microplastic characterisation (such as electron microscopy and infrared spectroscopy). The student will also learn 2D and 3D mammalian cell culture, brightfield and fluorescent microscopy techniques and cell metabolic activity assays. The student will be working closely with postdoctoral researchers, PG final year project students and placement students who will provide peer support.</w:t>
            </w:r>
          </w:p>
        </w:tc>
      </w:tr>
      <w:tr w:rsidR="00C8772D" w14:paraId="128FF5A5" w14:textId="77777777" w:rsidTr="00F91561">
        <w:tc>
          <w:tcPr>
            <w:tcW w:w="9487" w:type="dxa"/>
          </w:tcPr>
          <w:p w14:paraId="257848DC" w14:textId="77777777" w:rsidR="00C8772D" w:rsidRPr="00024A6D" w:rsidRDefault="00C8772D" w:rsidP="00C8772D">
            <w:pPr>
              <w:spacing w:line="240" w:lineRule="auto"/>
              <w:rPr>
                <w:b/>
                <w:bCs/>
              </w:rPr>
            </w:pPr>
            <w:r>
              <w:rPr>
                <w:b/>
                <w:bCs/>
              </w:rPr>
              <w:t xml:space="preserve">Other information: </w:t>
            </w:r>
          </w:p>
        </w:tc>
      </w:tr>
      <w:tr w:rsidR="00C8772D" w14:paraId="2AA0DDFF" w14:textId="77777777" w:rsidTr="00F91561">
        <w:tc>
          <w:tcPr>
            <w:tcW w:w="9487" w:type="dxa"/>
          </w:tcPr>
          <w:p w14:paraId="37CF66A0" w14:textId="77777777" w:rsidR="00C8772D" w:rsidRPr="00FA1A2E" w:rsidRDefault="00C8772D" w:rsidP="00C8772D">
            <w:pPr>
              <w:spacing w:line="240" w:lineRule="auto"/>
            </w:pPr>
            <w:r>
              <w:rPr>
                <w:noProof/>
              </w:rPr>
              <w:t>This will be a pilot  study to train students in multidisciplinary research to gain expertise in chemical-and physical characterisation techniques, materials, and mammalian cell culture  in an intersectional area of much needed research to assess informat</w:t>
            </w:r>
          </w:p>
        </w:tc>
      </w:tr>
      <w:tr w:rsidR="00C8772D" w14:paraId="2AAE669B" w14:textId="77777777" w:rsidTr="00F91561">
        <w:tc>
          <w:tcPr>
            <w:tcW w:w="9487" w:type="dxa"/>
          </w:tcPr>
          <w:p w14:paraId="78713941" w14:textId="77777777" w:rsidR="00C8772D" w:rsidRPr="00FA1A2E" w:rsidRDefault="00C8772D" w:rsidP="00F91561"/>
        </w:tc>
      </w:tr>
    </w:tbl>
    <w:p w14:paraId="3080722D"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2D"/>
    <w:rsid w:val="00110DAA"/>
    <w:rsid w:val="00197231"/>
    <w:rsid w:val="001B0A1E"/>
    <w:rsid w:val="0030330A"/>
    <w:rsid w:val="00563A57"/>
    <w:rsid w:val="00C3719B"/>
    <w:rsid w:val="00C8772D"/>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537B"/>
  <w15:chartTrackingRefBased/>
  <w15:docId w15:val="{EB6EB558-A8BD-4DE9-B51A-6D988E54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2D"/>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C877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C877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C8772D"/>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C8772D"/>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C8772D"/>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C8772D"/>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C8772D"/>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C8772D"/>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C8772D"/>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7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72D"/>
    <w:rPr>
      <w:rFonts w:eastAsiaTheme="majorEastAsia" w:cstheme="majorBidi"/>
      <w:color w:val="272727" w:themeColor="text1" w:themeTint="D8"/>
    </w:rPr>
  </w:style>
  <w:style w:type="paragraph" w:styleId="Title">
    <w:name w:val="Title"/>
    <w:basedOn w:val="Normal"/>
    <w:next w:val="Normal"/>
    <w:link w:val="TitleChar"/>
    <w:uiPriority w:val="10"/>
    <w:qFormat/>
    <w:rsid w:val="00C8772D"/>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C8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72D"/>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C8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72D"/>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C8772D"/>
    <w:rPr>
      <w:i/>
      <w:iCs/>
      <w:color w:val="404040" w:themeColor="text1" w:themeTint="BF"/>
    </w:rPr>
  </w:style>
  <w:style w:type="paragraph" w:styleId="ListParagraph">
    <w:name w:val="List Paragraph"/>
    <w:basedOn w:val="Normal"/>
    <w:uiPriority w:val="34"/>
    <w:qFormat/>
    <w:rsid w:val="00C8772D"/>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C8772D"/>
    <w:rPr>
      <w:i/>
      <w:iCs/>
      <w:color w:val="0F4761" w:themeColor="accent1" w:themeShade="BF"/>
    </w:rPr>
  </w:style>
  <w:style w:type="paragraph" w:styleId="IntenseQuote">
    <w:name w:val="Intense Quote"/>
    <w:basedOn w:val="Normal"/>
    <w:next w:val="Normal"/>
    <w:link w:val="IntenseQuoteChar"/>
    <w:uiPriority w:val="30"/>
    <w:qFormat/>
    <w:rsid w:val="00C877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C8772D"/>
    <w:rPr>
      <w:i/>
      <w:iCs/>
      <w:color w:val="0F4761" w:themeColor="accent1" w:themeShade="BF"/>
    </w:rPr>
  </w:style>
  <w:style w:type="character" w:styleId="IntenseReference">
    <w:name w:val="Intense Reference"/>
    <w:basedOn w:val="DefaultParagraphFont"/>
    <w:uiPriority w:val="32"/>
    <w:qFormat/>
    <w:rsid w:val="00C8772D"/>
    <w:rPr>
      <w:b/>
      <w:bCs/>
      <w:smallCaps/>
      <w:color w:val="0F4761" w:themeColor="accent1" w:themeShade="BF"/>
      <w:spacing w:val="5"/>
    </w:rPr>
  </w:style>
  <w:style w:type="table" w:styleId="TableGrid">
    <w:name w:val="Table Grid"/>
    <w:basedOn w:val="TableNormal"/>
    <w:uiPriority w:val="39"/>
    <w:rsid w:val="00C8772D"/>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xsi:nil="true"/>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D1724-876A-4D4F-AEF8-818CF8B6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151C4-DA92-4DEB-B4DF-DFE716FBBCDF}">
  <ds:schemaRefs>
    <ds:schemaRef ds:uri="http://schemas.microsoft.com/sharepoint/v3/contenttype/forms"/>
  </ds:schemaRefs>
</ds:datastoreItem>
</file>

<file path=customXml/itemProps3.xml><?xml version="1.0" encoding="utf-8"?>
<ds:datastoreItem xmlns:ds="http://schemas.openxmlformats.org/officeDocument/2006/customXml" ds:itemID="{7890DC5C-61CF-48E8-A4F2-E83796101E8A}">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5765dd33-e124-4a0e-a950-e0c4e8c7276c"/>
    <ds:schemaRef ds:uri="http://purl.org/dc/elements/1.1/"/>
    <ds:schemaRef ds:uri="http://purl.org/dc/terms/"/>
    <ds:schemaRef ds:uri="http://purl.org/dc/dcmitype/"/>
    <ds:schemaRef ds:uri="d5bb1f6e-ddef-4cf8-907b-260a4ceba17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Company>University of Nottingham</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2</cp:revision>
  <dcterms:created xsi:type="dcterms:W3CDTF">2025-03-12T15:30:00Z</dcterms:created>
  <dcterms:modified xsi:type="dcterms:W3CDTF">2025-03-12T15:31:00Z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y fmtid="{D5CDD505-2E9C-101B-9397-08002B2CF9AE}" pid="3" name="MediaServiceImageTags">
    <vt:lpwstr/>
  </property>
</Properties>
</file>