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AF6A0" w14:textId="77777777" w:rsidR="00BB320E" w:rsidRDefault="00BB320E" w:rsidP="00BB320E">
      <w:pPr>
        <w:pStyle w:val="Heading2"/>
      </w:pPr>
      <w:r>
        <w:rPr>
          <w:noProof/>
        </w:rPr>
        <w:drawing>
          <wp:anchor distT="0" distB="0" distL="114300" distR="114300" simplePos="0" relativeHeight="251659264" behindDoc="1" locked="0" layoutInCell="1" allowOverlap="1" wp14:anchorId="77C6E2FA" wp14:editId="23FE76E0">
            <wp:simplePos x="0" y="0"/>
            <wp:positionH relativeFrom="margin">
              <wp:posOffset>-152400</wp:posOffset>
            </wp:positionH>
            <wp:positionV relativeFrom="paragraph">
              <wp:posOffset>0</wp:posOffset>
            </wp:positionV>
            <wp:extent cx="2113280" cy="685800"/>
            <wp:effectExtent l="0" t="0" r="1270" b="0"/>
            <wp:wrapTight wrapText="bothSides">
              <wp:wrapPolygon edited="0">
                <wp:start x="0" y="0"/>
                <wp:lineTo x="0" y="21000"/>
                <wp:lineTo x="21418" y="21000"/>
                <wp:lineTo x="21418" y="0"/>
                <wp:lineTo x="0" y="0"/>
              </wp:wrapPolygon>
            </wp:wrapTight>
            <wp:docPr id="1178179655" name="Picture 1178179655"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51788" name="Picture 266251788" descr="A logo for a universit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3280" cy="685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74233222" wp14:editId="7101EBBA">
            <wp:simplePos x="0" y="0"/>
            <wp:positionH relativeFrom="margin">
              <wp:posOffset>5461000</wp:posOffset>
            </wp:positionH>
            <wp:positionV relativeFrom="paragraph">
              <wp:posOffset>0</wp:posOffset>
            </wp:positionV>
            <wp:extent cx="845820" cy="704850"/>
            <wp:effectExtent l="0" t="0" r="0" b="0"/>
            <wp:wrapTight wrapText="bothSides">
              <wp:wrapPolygon edited="0">
                <wp:start x="0" y="0"/>
                <wp:lineTo x="0" y="21016"/>
                <wp:lineTo x="20919" y="21016"/>
                <wp:lineTo x="20919" y="0"/>
                <wp:lineTo x="0" y="0"/>
              </wp:wrapPolygon>
            </wp:wrapTight>
            <wp:docPr id="577621456" name="Picture 577621456" descr="A logo with purple square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621456" name="Picture 577621456" descr="A logo with purple squares and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5820" cy="704850"/>
                    </a:xfrm>
                    <a:prstGeom prst="rect">
                      <a:avLst/>
                    </a:prstGeom>
                  </pic:spPr>
                </pic:pic>
              </a:graphicData>
            </a:graphic>
            <wp14:sizeRelH relativeFrom="margin">
              <wp14:pctWidth>0</wp14:pctWidth>
            </wp14:sizeRelH>
            <wp14:sizeRelV relativeFrom="margin">
              <wp14:pctHeight>0</wp14:pctHeight>
            </wp14:sizeRelV>
          </wp:anchor>
        </w:drawing>
      </w:r>
      <w:r>
        <w:t>Nottingham Magnify Project 2025</w:t>
      </w:r>
    </w:p>
    <w:p w14:paraId="5C242BAB" w14:textId="77777777" w:rsidR="00BB320E" w:rsidRDefault="00BB320E" w:rsidP="00BB320E"/>
    <w:tbl>
      <w:tblPr>
        <w:tblStyle w:val="TableGrid"/>
        <w:tblW w:w="0" w:type="auto"/>
        <w:tblLook w:val="04A0" w:firstRow="1" w:lastRow="0" w:firstColumn="1" w:lastColumn="0" w:noHBand="0" w:noVBand="1"/>
      </w:tblPr>
      <w:tblGrid>
        <w:gridCol w:w="9487"/>
      </w:tblGrid>
      <w:tr w:rsidR="00BB320E" w14:paraId="525163FE" w14:textId="77777777" w:rsidTr="00F91561">
        <w:tc>
          <w:tcPr>
            <w:tcW w:w="9487" w:type="dxa"/>
          </w:tcPr>
          <w:p w14:paraId="72AC2D43" w14:textId="77777777" w:rsidR="00BB320E" w:rsidRPr="00F555B1" w:rsidRDefault="00BB320E" w:rsidP="00F91561">
            <w:pPr>
              <w:rPr>
                <w:b/>
                <w:bCs/>
              </w:rPr>
            </w:pPr>
            <w:r>
              <w:rPr>
                <w:b/>
                <w:bCs/>
              </w:rPr>
              <w:t>Name of Supervisor:</w:t>
            </w:r>
            <w:r w:rsidRPr="00F555B1">
              <w:rPr>
                <w:b/>
                <w:bCs/>
              </w:rPr>
              <w:t xml:space="preserve"> </w:t>
            </w:r>
          </w:p>
        </w:tc>
      </w:tr>
      <w:tr w:rsidR="00BB320E" w14:paraId="1F97AF3A" w14:textId="77777777" w:rsidTr="00F91561">
        <w:tc>
          <w:tcPr>
            <w:tcW w:w="9487" w:type="dxa"/>
          </w:tcPr>
          <w:p w14:paraId="1775DC78" w14:textId="77777777" w:rsidR="00BB320E" w:rsidRDefault="00BB320E" w:rsidP="00F91561">
            <w:r>
              <w:rPr>
                <w:noProof/>
              </w:rPr>
              <w:t>John King</w:t>
            </w:r>
          </w:p>
        </w:tc>
      </w:tr>
      <w:tr w:rsidR="00BB320E" w14:paraId="7DC4DC97" w14:textId="77777777" w:rsidTr="00F91561">
        <w:tc>
          <w:tcPr>
            <w:tcW w:w="9487" w:type="dxa"/>
          </w:tcPr>
          <w:p w14:paraId="192A106D" w14:textId="77777777" w:rsidR="00BB320E" w:rsidRPr="00232224" w:rsidRDefault="00BB320E" w:rsidP="00F91561">
            <w:pPr>
              <w:rPr>
                <w:b/>
                <w:bCs/>
              </w:rPr>
            </w:pPr>
            <w:r>
              <w:rPr>
                <w:b/>
                <w:bCs/>
              </w:rPr>
              <w:t xml:space="preserve">Research Theme: </w:t>
            </w:r>
          </w:p>
        </w:tc>
      </w:tr>
      <w:tr w:rsidR="00BB320E" w14:paraId="7CC074B9" w14:textId="77777777" w:rsidTr="00F91561">
        <w:tc>
          <w:tcPr>
            <w:tcW w:w="9487" w:type="dxa"/>
          </w:tcPr>
          <w:p w14:paraId="044F9980" w14:textId="77777777" w:rsidR="00BB320E" w:rsidRDefault="00BB320E" w:rsidP="00F91561">
            <w:r>
              <w:rPr>
                <w:noProof/>
              </w:rPr>
              <w:t>Bioscience for Health</w:t>
            </w:r>
          </w:p>
        </w:tc>
      </w:tr>
      <w:tr w:rsidR="00BB320E" w14:paraId="1B0E2072" w14:textId="77777777" w:rsidTr="00F91561">
        <w:tc>
          <w:tcPr>
            <w:tcW w:w="9487" w:type="dxa"/>
          </w:tcPr>
          <w:p w14:paraId="7E4AEA5E" w14:textId="77777777" w:rsidR="00BB320E" w:rsidRPr="00232224" w:rsidRDefault="00BB320E" w:rsidP="00F91561">
            <w:pPr>
              <w:rPr>
                <w:b/>
                <w:bCs/>
              </w:rPr>
            </w:pPr>
            <w:r>
              <w:rPr>
                <w:b/>
                <w:bCs/>
              </w:rPr>
              <w:t>Location of Project:</w:t>
            </w:r>
          </w:p>
        </w:tc>
      </w:tr>
      <w:tr w:rsidR="00BB320E" w14:paraId="6EBDA999" w14:textId="77777777" w:rsidTr="00F91561">
        <w:tc>
          <w:tcPr>
            <w:tcW w:w="9487" w:type="dxa"/>
          </w:tcPr>
          <w:p w14:paraId="07FF787B" w14:textId="77777777" w:rsidR="00BB320E" w:rsidRDefault="00BB320E" w:rsidP="00F91561">
            <w:r>
              <w:rPr>
                <w:noProof/>
              </w:rPr>
              <w:t>School of Mathematical Sciences</w:t>
            </w:r>
          </w:p>
        </w:tc>
      </w:tr>
    </w:tbl>
    <w:p w14:paraId="7D204525" w14:textId="77777777" w:rsidR="00BB320E" w:rsidRPr="00F555B1" w:rsidRDefault="00BB320E" w:rsidP="00BB320E"/>
    <w:tbl>
      <w:tblPr>
        <w:tblStyle w:val="TableGrid"/>
        <w:tblW w:w="0" w:type="auto"/>
        <w:tblLook w:val="04A0" w:firstRow="1" w:lastRow="0" w:firstColumn="1" w:lastColumn="0" w:noHBand="0" w:noVBand="1"/>
      </w:tblPr>
      <w:tblGrid>
        <w:gridCol w:w="9487"/>
      </w:tblGrid>
      <w:tr w:rsidR="00BB320E" w14:paraId="3C3E8989" w14:textId="77777777" w:rsidTr="00F91561">
        <w:tc>
          <w:tcPr>
            <w:tcW w:w="9487" w:type="dxa"/>
          </w:tcPr>
          <w:p w14:paraId="5A09924D" w14:textId="77777777" w:rsidR="00BB320E" w:rsidRPr="002B7057" w:rsidRDefault="00BB320E" w:rsidP="00F91561">
            <w:pPr>
              <w:rPr>
                <w:b/>
                <w:bCs/>
              </w:rPr>
            </w:pPr>
            <w:r>
              <w:rPr>
                <w:b/>
                <w:bCs/>
              </w:rPr>
              <w:t>Project Title:</w:t>
            </w:r>
          </w:p>
        </w:tc>
      </w:tr>
      <w:tr w:rsidR="00BB320E" w14:paraId="19E060BC" w14:textId="77777777" w:rsidTr="00F91561">
        <w:tc>
          <w:tcPr>
            <w:tcW w:w="9487" w:type="dxa"/>
          </w:tcPr>
          <w:p w14:paraId="462F2662" w14:textId="77777777" w:rsidR="00BB320E" w:rsidRDefault="00BB320E" w:rsidP="00F91561">
            <w:r>
              <w:rPr>
                <w:noProof/>
              </w:rPr>
              <w:t>Modelling the interaction of the immune system with the gut</w:t>
            </w:r>
          </w:p>
        </w:tc>
      </w:tr>
      <w:tr w:rsidR="00BB320E" w14:paraId="23F1EC0A" w14:textId="77777777" w:rsidTr="00F91561">
        <w:tc>
          <w:tcPr>
            <w:tcW w:w="9487" w:type="dxa"/>
          </w:tcPr>
          <w:p w14:paraId="4FEBCBB0" w14:textId="77777777" w:rsidR="00BB320E" w:rsidRPr="005601BD" w:rsidRDefault="00BB320E" w:rsidP="00F91561">
            <w:pPr>
              <w:rPr>
                <w:b/>
                <w:bCs/>
              </w:rPr>
            </w:pPr>
            <w:r>
              <w:rPr>
                <w:b/>
                <w:bCs/>
              </w:rPr>
              <w:t>Project Description:</w:t>
            </w:r>
          </w:p>
        </w:tc>
      </w:tr>
      <w:tr w:rsidR="00BB320E" w14:paraId="693ECA35" w14:textId="77777777" w:rsidTr="00F91561">
        <w:tc>
          <w:tcPr>
            <w:tcW w:w="9487" w:type="dxa"/>
          </w:tcPr>
          <w:p w14:paraId="12F911F4" w14:textId="77777777" w:rsidR="00BB320E" w:rsidRDefault="00BB320E" w:rsidP="00F91561">
            <w:pPr>
              <w:spacing w:line="240" w:lineRule="auto"/>
              <w:rPr>
                <w:noProof/>
              </w:rPr>
            </w:pPr>
            <w:r>
              <w:rPr>
                <w:noProof/>
              </w:rPr>
              <w:t xml:space="preserve">The immune system plays a huge number of roles in health and disease. The proposed project will focus on some of the implications for inflammageing and will build on an existing ordinary differential equation model by adding relevant additional components. The mathematical tools required will be model formulation, numerical computation and dynamical-systems approaches. </w:t>
            </w:r>
          </w:p>
          <w:p w14:paraId="78327AB4" w14:textId="77777777" w:rsidR="00BB320E" w:rsidRDefault="00BB320E" w:rsidP="00F91561">
            <w:pPr>
              <w:spacing w:line="240" w:lineRule="auto"/>
              <w:rPr>
                <w:noProof/>
              </w:rPr>
            </w:pPr>
            <w:r>
              <w:rPr>
                <w:noProof/>
              </w:rPr>
              <w:t xml:space="preserve">The immune system and the gut are deeply interconnected, with about 70% of immune cells residing in the gut. A complex interplay exists between the gut microbiota, the intestinal epithelial layer and the local immune system. A healthy gut microbiome is crucial for immune function, shaping immune responses and defending against harmful pathogens. As we age, both the immune system and the gut microbiome undergo significant changes that impact health. Emerging research indicates that mitigating age-related dysbiosis may enhance health and longevity by reducing systemic inflammation and immunosenescence, these being key features of ageing. Targeting age-related dysbiosis may thus represent an attractive strategy to prevent or reverse functional age-related declines in immune responses. </w:t>
            </w:r>
          </w:p>
          <w:p w14:paraId="439A4D04" w14:textId="77777777" w:rsidR="00BB320E" w:rsidRDefault="00BB320E" w:rsidP="00F91561">
            <w:pPr>
              <w:spacing w:line="240" w:lineRule="auto"/>
              <w:rPr>
                <w:noProof/>
              </w:rPr>
            </w:pPr>
            <w:r>
              <w:rPr>
                <w:noProof/>
              </w:rPr>
              <w:t>The project will take an existing mathematical model (developed by the supervisor and coworkers) that captures the interactions between the adaptive immune system, the intestinal wall and the microbiome. The aim is to extend this model (comprised of ordinary differential equations) by incorporating additional components such as those specifically relevant to ageing, such as the neutrophil–macrophage network, which is a major component of inflammageing, with evidence that macrophages in particular play a critical role in influencing immunosenescence. This will allow simulations of “immunosenescence” characterised by faulty or aberrant immune responses, as well as exploring how alterations in the composition of the gut microbiota can drive or are influenced by aging. These additions are crucial for a more accurate representation of the biological complexity associated with ageing.</w:t>
            </w:r>
          </w:p>
          <w:p w14:paraId="11897596" w14:textId="77777777" w:rsidR="00BB320E" w:rsidRDefault="00BB320E" w:rsidP="00F91561">
            <w:pPr>
              <w:spacing w:line="240" w:lineRule="auto"/>
              <w:rPr>
                <w:noProof/>
              </w:rPr>
            </w:pPr>
            <w:r>
              <w:rPr>
                <w:noProof/>
              </w:rPr>
              <w:lastRenderedPageBreak/>
              <w:t>The modified model will be solved numerically, the results being compared to known biological outcomes. The numerical computations will be complemented by dynamical-systems approaches, a likely significant aspect being bistability: in the context of the immune system this could aid understanding of how the system might exist in either a healthy or a diseased state and could clarify what factors might be associated with a switch between these states. By such approaches we hope both to can gain insights into the triggers of disease onset and progression and potentially to identify new therapeutic targets.  Model results will be compared to data from collaborators that describe numbers of individual immune cells, levels of key cytokines and measures of the microbiota in the elderly, leading to model refinements. The expanded model will allow the more effective simulation and analysis of the dynamic behaviour of the immune system in the context of ageing.</w:t>
            </w:r>
          </w:p>
          <w:p w14:paraId="6170BAE1" w14:textId="77777777" w:rsidR="00BB320E" w:rsidRDefault="00BB320E" w:rsidP="00F91561">
            <w:pPr>
              <w:spacing w:line="240" w:lineRule="auto"/>
              <w:rPr>
                <w:noProof/>
              </w:rPr>
            </w:pPr>
            <w:r>
              <w:rPr>
                <w:noProof/>
              </w:rPr>
              <w:t xml:space="preserve">In summary, this project aims to increase our understanding of how dysregulation of the innate and adaptive immune system can be of significance to healthy ageing by building upon an existing ODE model, enriching it with new components, and employing a combination of mathematical approaches to understand its implications.  </w:t>
            </w:r>
          </w:p>
          <w:p w14:paraId="3CBE3D34" w14:textId="77777777" w:rsidR="00BB320E" w:rsidRDefault="00BB320E" w:rsidP="00F91561"/>
        </w:tc>
      </w:tr>
      <w:tr w:rsidR="00BB320E" w14:paraId="4774C83F" w14:textId="77777777" w:rsidTr="00F91561">
        <w:tc>
          <w:tcPr>
            <w:tcW w:w="9487" w:type="dxa"/>
          </w:tcPr>
          <w:p w14:paraId="70E97685" w14:textId="77777777" w:rsidR="00BB320E" w:rsidRPr="00FE4988" w:rsidRDefault="00BB320E" w:rsidP="00F91561">
            <w:pPr>
              <w:rPr>
                <w:b/>
                <w:bCs/>
              </w:rPr>
            </w:pPr>
            <w:r>
              <w:rPr>
                <w:b/>
                <w:bCs/>
              </w:rPr>
              <w:lastRenderedPageBreak/>
              <w:t>Potential skills that can be developed:</w:t>
            </w:r>
          </w:p>
        </w:tc>
      </w:tr>
      <w:tr w:rsidR="00BB320E" w14:paraId="4E1A7E46" w14:textId="77777777" w:rsidTr="00F91561">
        <w:tc>
          <w:tcPr>
            <w:tcW w:w="9487" w:type="dxa"/>
          </w:tcPr>
          <w:p w14:paraId="66330382" w14:textId="77777777" w:rsidR="00BB320E" w:rsidRDefault="00BB320E" w:rsidP="00F91561">
            <w:r>
              <w:rPr>
                <w:noProof/>
              </w:rPr>
              <w:t>mathematical modelling;systems biology;statistics;in silico testing;</w:t>
            </w:r>
          </w:p>
        </w:tc>
      </w:tr>
      <w:tr w:rsidR="00BB320E" w14:paraId="4CE176A7" w14:textId="77777777" w:rsidTr="00F91561">
        <w:tc>
          <w:tcPr>
            <w:tcW w:w="9487" w:type="dxa"/>
          </w:tcPr>
          <w:p w14:paraId="696B1A6B" w14:textId="77777777" w:rsidR="00BB320E" w:rsidRDefault="00BB320E" w:rsidP="00F91561">
            <w:r>
              <w:rPr>
                <w:b/>
                <w:bCs/>
              </w:rPr>
              <w:t>Training opportunities:</w:t>
            </w:r>
          </w:p>
        </w:tc>
      </w:tr>
      <w:tr w:rsidR="00BB320E" w14:paraId="72ADCE3D" w14:textId="77777777" w:rsidTr="00F91561">
        <w:tc>
          <w:tcPr>
            <w:tcW w:w="9487" w:type="dxa"/>
          </w:tcPr>
          <w:p w14:paraId="0091C135" w14:textId="77777777" w:rsidR="00BB320E" w:rsidRDefault="00BB320E" w:rsidP="00F91561">
            <w:r>
              <w:rPr>
                <w:noProof/>
              </w:rPr>
              <w:t>Training in model formulation and computational and analytical mathematical methods. Involvement in activities with the Centre of Mathematical Medicine and Biology.</w:t>
            </w:r>
          </w:p>
        </w:tc>
      </w:tr>
    </w:tbl>
    <w:p w14:paraId="6CE4814A" w14:textId="77777777" w:rsidR="00BB320E" w:rsidRDefault="00BB320E" w:rsidP="00BB320E"/>
    <w:p w14:paraId="1540F36A" w14:textId="77777777" w:rsidR="00BB320E" w:rsidRDefault="00BB320E" w:rsidP="00BB320E">
      <w:pPr>
        <w:sectPr w:rsidR="00BB320E" w:rsidSect="00BB320E">
          <w:pgSz w:w="12240" w:h="15840"/>
          <w:pgMar w:top="1440" w:right="1325" w:bottom="1440" w:left="1418" w:header="720" w:footer="720" w:gutter="0"/>
          <w:pgNumType w:start="1"/>
          <w:cols w:space="720"/>
          <w:docGrid w:linePitch="360"/>
        </w:sectPr>
      </w:pPr>
    </w:p>
    <w:p w14:paraId="5130B932" w14:textId="77777777" w:rsidR="00197231" w:rsidRDefault="00197231"/>
    <w:sectPr w:rsidR="001972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20E"/>
    <w:rsid w:val="00110DAA"/>
    <w:rsid w:val="00197231"/>
    <w:rsid w:val="001B0A1E"/>
    <w:rsid w:val="0030330A"/>
    <w:rsid w:val="00BB320E"/>
    <w:rsid w:val="00C3719B"/>
    <w:rsid w:val="00CD51D1"/>
    <w:rsid w:val="00FA6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1668"/>
  <w15:chartTrackingRefBased/>
  <w15:docId w15:val="{F2894B9E-B018-4CA5-99F0-4EAEC37B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20E"/>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BB320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unhideWhenUsed/>
    <w:qFormat/>
    <w:rsid w:val="00BB320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BB320E"/>
    <w:pPr>
      <w:keepNext/>
      <w:keepLines/>
      <w:spacing w:before="160" w:after="80" w:line="259" w:lineRule="auto"/>
      <w:outlineLvl w:val="2"/>
    </w:pPr>
    <w:rPr>
      <w:rFonts w:eastAsiaTheme="majorEastAsia"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BB320E"/>
    <w:pPr>
      <w:keepNext/>
      <w:keepLines/>
      <w:spacing w:before="80" w:after="40" w:line="259" w:lineRule="auto"/>
      <w:outlineLvl w:val="3"/>
    </w:pPr>
    <w:rPr>
      <w:rFonts w:eastAsiaTheme="majorEastAsia" w:cstheme="majorBidi"/>
      <w:i/>
      <w:iCs/>
      <w:color w:val="0F4761" w:themeColor="accent1" w:themeShade="BF"/>
      <w:kern w:val="2"/>
      <w:sz w:val="22"/>
      <w:szCs w:val="22"/>
      <w:lang w:val="en-GB" w:eastAsia="en-US"/>
      <w14:ligatures w14:val="standardContextual"/>
    </w:rPr>
  </w:style>
  <w:style w:type="paragraph" w:styleId="Heading5">
    <w:name w:val="heading 5"/>
    <w:basedOn w:val="Normal"/>
    <w:next w:val="Normal"/>
    <w:link w:val="Heading5Char"/>
    <w:uiPriority w:val="9"/>
    <w:semiHidden/>
    <w:unhideWhenUsed/>
    <w:qFormat/>
    <w:rsid w:val="00BB320E"/>
    <w:pPr>
      <w:keepNext/>
      <w:keepLines/>
      <w:spacing w:before="80" w:after="40" w:line="259" w:lineRule="auto"/>
      <w:outlineLvl w:val="4"/>
    </w:pPr>
    <w:rPr>
      <w:rFonts w:eastAsiaTheme="majorEastAsia" w:cstheme="majorBidi"/>
      <w:color w:val="0F4761" w:themeColor="accent1" w:themeShade="BF"/>
      <w:kern w:val="2"/>
      <w:sz w:val="22"/>
      <w:szCs w:val="22"/>
      <w:lang w:val="en-GB" w:eastAsia="en-US"/>
      <w14:ligatures w14:val="standardContextual"/>
    </w:rPr>
  </w:style>
  <w:style w:type="paragraph" w:styleId="Heading6">
    <w:name w:val="heading 6"/>
    <w:basedOn w:val="Normal"/>
    <w:next w:val="Normal"/>
    <w:link w:val="Heading6Char"/>
    <w:uiPriority w:val="9"/>
    <w:semiHidden/>
    <w:unhideWhenUsed/>
    <w:qFormat/>
    <w:rsid w:val="00BB320E"/>
    <w:pPr>
      <w:keepNext/>
      <w:keepLines/>
      <w:spacing w:before="40" w:after="0" w:line="259" w:lineRule="auto"/>
      <w:outlineLvl w:val="5"/>
    </w:pPr>
    <w:rPr>
      <w:rFonts w:eastAsiaTheme="majorEastAsia" w:cstheme="majorBidi"/>
      <w:i/>
      <w:iCs/>
      <w:color w:val="595959" w:themeColor="text1" w:themeTint="A6"/>
      <w:kern w:val="2"/>
      <w:sz w:val="22"/>
      <w:szCs w:val="22"/>
      <w:lang w:val="en-GB" w:eastAsia="en-US"/>
      <w14:ligatures w14:val="standardContextual"/>
    </w:rPr>
  </w:style>
  <w:style w:type="paragraph" w:styleId="Heading7">
    <w:name w:val="heading 7"/>
    <w:basedOn w:val="Normal"/>
    <w:next w:val="Normal"/>
    <w:link w:val="Heading7Char"/>
    <w:uiPriority w:val="9"/>
    <w:semiHidden/>
    <w:unhideWhenUsed/>
    <w:qFormat/>
    <w:rsid w:val="00BB320E"/>
    <w:pPr>
      <w:keepNext/>
      <w:keepLines/>
      <w:spacing w:before="40" w:after="0" w:line="259" w:lineRule="auto"/>
      <w:outlineLvl w:val="6"/>
    </w:pPr>
    <w:rPr>
      <w:rFonts w:eastAsiaTheme="majorEastAsia" w:cstheme="majorBidi"/>
      <w:color w:val="595959" w:themeColor="text1" w:themeTint="A6"/>
      <w:kern w:val="2"/>
      <w:sz w:val="22"/>
      <w:szCs w:val="22"/>
      <w:lang w:val="en-GB" w:eastAsia="en-US"/>
      <w14:ligatures w14:val="standardContextual"/>
    </w:rPr>
  </w:style>
  <w:style w:type="paragraph" w:styleId="Heading8">
    <w:name w:val="heading 8"/>
    <w:basedOn w:val="Normal"/>
    <w:next w:val="Normal"/>
    <w:link w:val="Heading8Char"/>
    <w:uiPriority w:val="9"/>
    <w:semiHidden/>
    <w:unhideWhenUsed/>
    <w:qFormat/>
    <w:rsid w:val="00BB320E"/>
    <w:pPr>
      <w:keepNext/>
      <w:keepLines/>
      <w:spacing w:after="0" w:line="259" w:lineRule="auto"/>
      <w:outlineLvl w:val="7"/>
    </w:pPr>
    <w:rPr>
      <w:rFonts w:eastAsiaTheme="majorEastAsia" w:cstheme="majorBidi"/>
      <w:i/>
      <w:iCs/>
      <w:color w:val="272727" w:themeColor="text1" w:themeTint="D8"/>
      <w:kern w:val="2"/>
      <w:sz w:val="22"/>
      <w:szCs w:val="22"/>
      <w:lang w:val="en-GB" w:eastAsia="en-US"/>
      <w14:ligatures w14:val="standardContextual"/>
    </w:rPr>
  </w:style>
  <w:style w:type="paragraph" w:styleId="Heading9">
    <w:name w:val="heading 9"/>
    <w:basedOn w:val="Normal"/>
    <w:next w:val="Normal"/>
    <w:link w:val="Heading9Char"/>
    <w:uiPriority w:val="9"/>
    <w:semiHidden/>
    <w:unhideWhenUsed/>
    <w:qFormat/>
    <w:rsid w:val="00BB320E"/>
    <w:pPr>
      <w:keepNext/>
      <w:keepLines/>
      <w:spacing w:after="0" w:line="259" w:lineRule="auto"/>
      <w:outlineLvl w:val="8"/>
    </w:pPr>
    <w:rPr>
      <w:rFonts w:eastAsiaTheme="majorEastAsia" w:cstheme="majorBidi"/>
      <w:color w:val="272727" w:themeColor="text1" w:themeTint="D8"/>
      <w:kern w:val="2"/>
      <w:sz w:val="22"/>
      <w:szCs w:val="2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2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B32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2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2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2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2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2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2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20E"/>
    <w:rPr>
      <w:rFonts w:eastAsiaTheme="majorEastAsia" w:cstheme="majorBidi"/>
      <w:color w:val="272727" w:themeColor="text1" w:themeTint="D8"/>
    </w:rPr>
  </w:style>
  <w:style w:type="paragraph" w:styleId="Title">
    <w:name w:val="Title"/>
    <w:basedOn w:val="Normal"/>
    <w:next w:val="Normal"/>
    <w:link w:val="TitleChar"/>
    <w:uiPriority w:val="10"/>
    <w:qFormat/>
    <w:rsid w:val="00BB320E"/>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BB32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20E"/>
    <w:pPr>
      <w:numPr>
        <w:ilvl w:val="1"/>
      </w:numPr>
      <w:spacing w:line="259" w:lineRule="auto"/>
    </w:pPr>
    <w:rPr>
      <w:rFonts w:eastAsiaTheme="majorEastAsia"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BB32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20E"/>
    <w:pPr>
      <w:spacing w:before="160" w:line="259" w:lineRule="auto"/>
      <w:jc w:val="center"/>
    </w:pPr>
    <w:rPr>
      <w:rFonts w:eastAsiaTheme="minorHAnsi"/>
      <w:i/>
      <w:iCs/>
      <w:color w:val="404040" w:themeColor="text1" w:themeTint="BF"/>
      <w:kern w:val="2"/>
      <w:sz w:val="22"/>
      <w:szCs w:val="22"/>
      <w:lang w:val="en-GB" w:eastAsia="en-US"/>
      <w14:ligatures w14:val="standardContextual"/>
    </w:rPr>
  </w:style>
  <w:style w:type="character" w:customStyle="1" w:styleId="QuoteChar">
    <w:name w:val="Quote Char"/>
    <w:basedOn w:val="DefaultParagraphFont"/>
    <w:link w:val="Quote"/>
    <w:uiPriority w:val="29"/>
    <w:rsid w:val="00BB320E"/>
    <w:rPr>
      <w:i/>
      <w:iCs/>
      <w:color w:val="404040" w:themeColor="text1" w:themeTint="BF"/>
    </w:rPr>
  </w:style>
  <w:style w:type="paragraph" w:styleId="ListParagraph">
    <w:name w:val="List Paragraph"/>
    <w:basedOn w:val="Normal"/>
    <w:uiPriority w:val="34"/>
    <w:qFormat/>
    <w:rsid w:val="00BB320E"/>
    <w:pPr>
      <w:spacing w:line="259" w:lineRule="auto"/>
      <w:ind w:left="720"/>
      <w:contextualSpacing/>
    </w:pPr>
    <w:rPr>
      <w:rFonts w:eastAsiaTheme="minorHAnsi"/>
      <w:kern w:val="2"/>
      <w:sz w:val="22"/>
      <w:szCs w:val="22"/>
      <w:lang w:val="en-GB" w:eastAsia="en-US"/>
      <w14:ligatures w14:val="standardContextual"/>
    </w:rPr>
  </w:style>
  <w:style w:type="character" w:styleId="IntenseEmphasis">
    <w:name w:val="Intense Emphasis"/>
    <w:basedOn w:val="DefaultParagraphFont"/>
    <w:uiPriority w:val="21"/>
    <w:qFormat/>
    <w:rsid w:val="00BB320E"/>
    <w:rPr>
      <w:i/>
      <w:iCs/>
      <w:color w:val="0F4761" w:themeColor="accent1" w:themeShade="BF"/>
    </w:rPr>
  </w:style>
  <w:style w:type="paragraph" w:styleId="IntenseQuote">
    <w:name w:val="Intense Quote"/>
    <w:basedOn w:val="Normal"/>
    <w:next w:val="Normal"/>
    <w:link w:val="IntenseQuoteChar"/>
    <w:uiPriority w:val="30"/>
    <w:qFormat/>
    <w:rsid w:val="00BB320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GB" w:eastAsia="en-US"/>
      <w14:ligatures w14:val="standardContextual"/>
    </w:rPr>
  </w:style>
  <w:style w:type="character" w:customStyle="1" w:styleId="IntenseQuoteChar">
    <w:name w:val="Intense Quote Char"/>
    <w:basedOn w:val="DefaultParagraphFont"/>
    <w:link w:val="IntenseQuote"/>
    <w:uiPriority w:val="30"/>
    <w:rsid w:val="00BB320E"/>
    <w:rPr>
      <w:i/>
      <w:iCs/>
      <w:color w:val="0F4761" w:themeColor="accent1" w:themeShade="BF"/>
    </w:rPr>
  </w:style>
  <w:style w:type="character" w:styleId="IntenseReference">
    <w:name w:val="Intense Reference"/>
    <w:basedOn w:val="DefaultParagraphFont"/>
    <w:uiPriority w:val="32"/>
    <w:qFormat/>
    <w:rsid w:val="00BB320E"/>
    <w:rPr>
      <w:b/>
      <w:bCs/>
      <w:smallCaps/>
      <w:color w:val="0F4761" w:themeColor="accent1" w:themeShade="BF"/>
      <w:spacing w:val="5"/>
    </w:rPr>
  </w:style>
  <w:style w:type="table" w:styleId="TableGrid">
    <w:name w:val="Table Grid"/>
    <w:basedOn w:val="TableNormal"/>
    <w:uiPriority w:val="39"/>
    <w:rsid w:val="00BB320E"/>
    <w:pPr>
      <w:spacing w:after="0" w:line="240" w:lineRule="auto"/>
    </w:pPr>
    <w:rPr>
      <w:rFonts w:eastAsiaTheme="minorEastAsia"/>
      <w:kern w:val="0"/>
      <w:sz w:val="24"/>
      <w:szCs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805A64DBFC34092905EEA2E0F2EB9" ma:contentTypeVersion="18" ma:contentTypeDescription="Create a new document." ma:contentTypeScope="" ma:versionID="3e5af8ce12ced8a89ac2d8739a5adaef">
  <xsd:schema xmlns:xsd="http://www.w3.org/2001/XMLSchema" xmlns:xs="http://www.w3.org/2001/XMLSchema" xmlns:p="http://schemas.microsoft.com/office/2006/metadata/properties" xmlns:ns2="5765dd33-e124-4a0e-a950-e0c4e8c7276c" xmlns:ns3="d5bb1f6e-ddef-4cf8-907b-260a4ceba171" targetNamespace="http://schemas.microsoft.com/office/2006/metadata/properties" ma:root="true" ma:fieldsID="bac16e1b2315eef9bd528b04d8dfed94" ns2:_="" ns3:_="">
    <xsd:import namespace="5765dd33-e124-4a0e-a950-e0c4e8c7276c"/>
    <xsd:import namespace="d5bb1f6e-ddef-4cf8-907b-260a4ceba1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5dd33-e124-4a0e-a950-e0c4e8c72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bb1f6e-ddef-4cf8-907b-260a4ceba1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108671-14ed-465c-b3a8-33eb9a1bb1cd}" ma:internalName="TaxCatchAll" ma:showField="CatchAllData" ma:web="d5bb1f6e-ddef-4cf8-907b-260a4ceba1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bb1f6e-ddef-4cf8-907b-260a4ceba171"/>
    <lcf76f155ced4ddcb4097134ff3c332f xmlns="5765dd33-e124-4a0e-a950-e0c4e8c727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1C9836-E55F-4147-83B2-DD575C3E0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5dd33-e124-4a0e-a950-e0c4e8c7276c"/>
    <ds:schemaRef ds:uri="d5bb1f6e-ddef-4cf8-907b-260a4ceba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52B56-F77A-4927-A867-D4786C3DFB55}">
  <ds:schemaRefs>
    <ds:schemaRef ds:uri="http://schemas.microsoft.com/sharepoint/v3/contenttype/forms"/>
  </ds:schemaRefs>
</ds:datastoreItem>
</file>

<file path=customXml/itemProps3.xml><?xml version="1.0" encoding="utf-8"?>
<ds:datastoreItem xmlns:ds="http://schemas.openxmlformats.org/officeDocument/2006/customXml" ds:itemID="{23B29DAB-EA65-46B7-8909-415C4A920BEA}">
  <ds:schemaRefs>
    <ds:schemaRef ds:uri="d5bb1f6e-ddef-4cf8-907b-260a4ceba171"/>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5765dd33-e124-4a0e-a950-e0c4e8c7276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3337</Characters>
  <Application>Microsoft Office Word</Application>
  <DocSecurity>0</DocSecurity>
  <Lines>27</Lines>
  <Paragraphs>7</Paragraphs>
  <ScaleCrop>false</ScaleCrop>
  <Company>University of Nottingham</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Barton (staff)</dc:creator>
  <cp:keywords/>
  <dc:description/>
  <cp:lastModifiedBy>Clare Barton (staff)</cp:lastModifiedBy>
  <cp:revision>1</cp:revision>
  <dcterms:created xsi:type="dcterms:W3CDTF">2025-03-12T15:20:00Z</dcterms:created>
  <dcterms:modified xsi:type="dcterms:W3CDTF">2025-03-12T15:20:00Z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0x010100984805A64DBFC34092905EEA2E0F2EB9</vt:lpwstr>
  </property>
</Properties>
</file>