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A59F" w14:textId="77777777" w:rsidR="00657E3F" w:rsidRDefault="00657E3F" w:rsidP="00657E3F">
      <w:pPr>
        <w:pStyle w:val="Heading2"/>
      </w:pPr>
      <w:r>
        <w:rPr>
          <w:noProof/>
        </w:rPr>
        <w:drawing>
          <wp:anchor distT="0" distB="0" distL="114300" distR="114300" simplePos="0" relativeHeight="251659264" behindDoc="1" locked="0" layoutInCell="1" allowOverlap="1" wp14:anchorId="5BCE5120" wp14:editId="150B275F">
            <wp:simplePos x="0" y="0"/>
            <wp:positionH relativeFrom="margin">
              <wp:posOffset>-152400</wp:posOffset>
            </wp:positionH>
            <wp:positionV relativeFrom="paragraph">
              <wp:posOffset>0</wp:posOffset>
            </wp:positionV>
            <wp:extent cx="2113280" cy="685800"/>
            <wp:effectExtent l="0" t="0" r="1270" b="0"/>
            <wp:wrapTight wrapText="bothSides">
              <wp:wrapPolygon edited="0">
                <wp:start x="0" y="0"/>
                <wp:lineTo x="0" y="21000"/>
                <wp:lineTo x="21418" y="21000"/>
                <wp:lineTo x="21418" y="0"/>
                <wp:lineTo x="0" y="0"/>
              </wp:wrapPolygon>
            </wp:wrapTight>
            <wp:docPr id="1604946759" name="Picture 1604946759"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51788" name="Picture 266251788" descr="A logo for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28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7F22CD1" wp14:editId="25805C12">
            <wp:simplePos x="0" y="0"/>
            <wp:positionH relativeFrom="margin">
              <wp:posOffset>5461000</wp:posOffset>
            </wp:positionH>
            <wp:positionV relativeFrom="paragraph">
              <wp:posOffset>0</wp:posOffset>
            </wp:positionV>
            <wp:extent cx="845820" cy="704850"/>
            <wp:effectExtent l="0" t="0" r="0" b="0"/>
            <wp:wrapTight wrapText="bothSides">
              <wp:wrapPolygon edited="0">
                <wp:start x="0" y="0"/>
                <wp:lineTo x="0" y="21016"/>
                <wp:lineTo x="20919" y="21016"/>
                <wp:lineTo x="20919" y="0"/>
                <wp:lineTo x="0" y="0"/>
              </wp:wrapPolygon>
            </wp:wrapTight>
            <wp:docPr id="277947251" name="Picture 277947251" descr="A logo with purple squar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7251" name="Picture 277947251" descr="A logo with purple squares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704850"/>
                    </a:xfrm>
                    <a:prstGeom prst="rect">
                      <a:avLst/>
                    </a:prstGeom>
                  </pic:spPr>
                </pic:pic>
              </a:graphicData>
            </a:graphic>
            <wp14:sizeRelH relativeFrom="margin">
              <wp14:pctWidth>0</wp14:pctWidth>
            </wp14:sizeRelH>
            <wp14:sizeRelV relativeFrom="margin">
              <wp14:pctHeight>0</wp14:pctHeight>
            </wp14:sizeRelV>
          </wp:anchor>
        </w:drawing>
      </w:r>
      <w:r>
        <w:t>Nottingham Magnify Project 2025</w:t>
      </w:r>
    </w:p>
    <w:p w14:paraId="73719023" w14:textId="77777777" w:rsidR="00657E3F" w:rsidRDefault="00657E3F" w:rsidP="00657E3F"/>
    <w:tbl>
      <w:tblPr>
        <w:tblStyle w:val="TableGrid"/>
        <w:tblW w:w="0" w:type="auto"/>
        <w:tblLook w:val="04A0" w:firstRow="1" w:lastRow="0" w:firstColumn="1" w:lastColumn="0" w:noHBand="0" w:noVBand="1"/>
      </w:tblPr>
      <w:tblGrid>
        <w:gridCol w:w="9016"/>
      </w:tblGrid>
      <w:tr w:rsidR="00657E3F" w14:paraId="0FF1F0F8" w14:textId="77777777" w:rsidTr="00F91561">
        <w:tc>
          <w:tcPr>
            <w:tcW w:w="9487" w:type="dxa"/>
          </w:tcPr>
          <w:p w14:paraId="66B38493" w14:textId="77777777" w:rsidR="00657E3F" w:rsidRPr="00F555B1" w:rsidRDefault="00657E3F" w:rsidP="00F91561">
            <w:pPr>
              <w:rPr>
                <w:b/>
                <w:bCs/>
              </w:rPr>
            </w:pPr>
            <w:r>
              <w:rPr>
                <w:b/>
                <w:bCs/>
              </w:rPr>
              <w:t>Name of Supervisor:</w:t>
            </w:r>
            <w:r w:rsidRPr="00F555B1">
              <w:rPr>
                <w:b/>
                <w:bCs/>
              </w:rPr>
              <w:t xml:space="preserve"> </w:t>
            </w:r>
          </w:p>
        </w:tc>
      </w:tr>
      <w:tr w:rsidR="00657E3F" w14:paraId="162ACC1A" w14:textId="77777777" w:rsidTr="00F91561">
        <w:tc>
          <w:tcPr>
            <w:tcW w:w="9487" w:type="dxa"/>
          </w:tcPr>
          <w:p w14:paraId="4FB60D58" w14:textId="77777777" w:rsidR="00657E3F" w:rsidRDefault="00657E3F" w:rsidP="00F91561">
            <w:r>
              <w:rPr>
                <w:noProof/>
              </w:rPr>
              <w:t>Prof. Victoria Chapman</w:t>
            </w:r>
          </w:p>
        </w:tc>
      </w:tr>
      <w:tr w:rsidR="00657E3F" w14:paraId="1CC69ED9" w14:textId="77777777" w:rsidTr="00F91561">
        <w:tc>
          <w:tcPr>
            <w:tcW w:w="9487" w:type="dxa"/>
          </w:tcPr>
          <w:p w14:paraId="02E4C0D7" w14:textId="77777777" w:rsidR="00657E3F" w:rsidRPr="00232224" w:rsidRDefault="00657E3F" w:rsidP="00F91561">
            <w:pPr>
              <w:rPr>
                <w:b/>
                <w:bCs/>
              </w:rPr>
            </w:pPr>
            <w:r>
              <w:rPr>
                <w:b/>
                <w:bCs/>
              </w:rPr>
              <w:t xml:space="preserve">Research Theme: </w:t>
            </w:r>
          </w:p>
        </w:tc>
      </w:tr>
      <w:tr w:rsidR="00657E3F" w14:paraId="4CE70B74" w14:textId="77777777" w:rsidTr="00F91561">
        <w:tc>
          <w:tcPr>
            <w:tcW w:w="9487" w:type="dxa"/>
          </w:tcPr>
          <w:p w14:paraId="0AC89ACB" w14:textId="77777777" w:rsidR="00657E3F" w:rsidRDefault="00657E3F" w:rsidP="00F91561">
            <w:r>
              <w:rPr>
                <w:noProof/>
              </w:rPr>
              <w:t>Bioscience for Health</w:t>
            </w:r>
          </w:p>
        </w:tc>
      </w:tr>
      <w:tr w:rsidR="00657E3F" w14:paraId="1A514E0D" w14:textId="77777777" w:rsidTr="00F91561">
        <w:tc>
          <w:tcPr>
            <w:tcW w:w="9487" w:type="dxa"/>
          </w:tcPr>
          <w:p w14:paraId="56AF3356" w14:textId="77777777" w:rsidR="00657E3F" w:rsidRPr="00232224" w:rsidRDefault="00657E3F" w:rsidP="00F91561">
            <w:pPr>
              <w:rPr>
                <w:b/>
                <w:bCs/>
              </w:rPr>
            </w:pPr>
            <w:r>
              <w:rPr>
                <w:b/>
                <w:bCs/>
              </w:rPr>
              <w:t>Location of Project:</w:t>
            </w:r>
          </w:p>
        </w:tc>
      </w:tr>
      <w:tr w:rsidR="00657E3F" w14:paraId="7E2685D1" w14:textId="77777777" w:rsidTr="00F91561">
        <w:tc>
          <w:tcPr>
            <w:tcW w:w="9487" w:type="dxa"/>
          </w:tcPr>
          <w:p w14:paraId="3C2BFA1A" w14:textId="77777777" w:rsidR="00657E3F" w:rsidRDefault="00657E3F" w:rsidP="00F91561">
            <w:r>
              <w:rPr>
                <w:noProof/>
              </w:rPr>
              <w:t>School of Life Sciences, FDB labs and Boots Science building Centre for Analytical Bioscience.</w:t>
            </w:r>
          </w:p>
        </w:tc>
      </w:tr>
    </w:tbl>
    <w:p w14:paraId="26E8A2FB" w14:textId="77777777" w:rsidR="00657E3F" w:rsidRPr="00F555B1" w:rsidRDefault="00657E3F" w:rsidP="00657E3F"/>
    <w:tbl>
      <w:tblPr>
        <w:tblStyle w:val="TableGrid"/>
        <w:tblW w:w="0" w:type="auto"/>
        <w:tblLook w:val="04A0" w:firstRow="1" w:lastRow="0" w:firstColumn="1" w:lastColumn="0" w:noHBand="0" w:noVBand="1"/>
      </w:tblPr>
      <w:tblGrid>
        <w:gridCol w:w="9016"/>
      </w:tblGrid>
      <w:tr w:rsidR="00657E3F" w14:paraId="21010AE0" w14:textId="77777777" w:rsidTr="00F91561">
        <w:tc>
          <w:tcPr>
            <w:tcW w:w="9487" w:type="dxa"/>
          </w:tcPr>
          <w:p w14:paraId="45C13AFE" w14:textId="77777777" w:rsidR="00657E3F" w:rsidRPr="002B7057" w:rsidRDefault="00657E3F" w:rsidP="00F91561">
            <w:pPr>
              <w:rPr>
                <w:b/>
                <w:bCs/>
              </w:rPr>
            </w:pPr>
            <w:r>
              <w:rPr>
                <w:b/>
                <w:bCs/>
              </w:rPr>
              <w:t>Project Title:</w:t>
            </w:r>
          </w:p>
        </w:tc>
      </w:tr>
      <w:tr w:rsidR="00657E3F" w14:paraId="008E651C" w14:textId="77777777" w:rsidTr="00F91561">
        <w:tc>
          <w:tcPr>
            <w:tcW w:w="9487" w:type="dxa"/>
          </w:tcPr>
          <w:p w14:paraId="400AFCBB" w14:textId="77777777" w:rsidR="00657E3F" w:rsidRDefault="00657E3F" w:rsidP="00F91561">
            <w:r>
              <w:rPr>
                <w:noProof/>
              </w:rPr>
              <w:t>Probing the anti-inflammatory actions of Resveratrol in dorsal root ganglia neurons through targeted lipidomic analysis</w:t>
            </w:r>
          </w:p>
        </w:tc>
      </w:tr>
      <w:tr w:rsidR="00657E3F" w14:paraId="5B778911" w14:textId="77777777" w:rsidTr="00F91561">
        <w:tc>
          <w:tcPr>
            <w:tcW w:w="9487" w:type="dxa"/>
          </w:tcPr>
          <w:p w14:paraId="71C9881C" w14:textId="77777777" w:rsidR="00657E3F" w:rsidRPr="005601BD" w:rsidRDefault="00657E3F" w:rsidP="00F91561">
            <w:pPr>
              <w:rPr>
                <w:b/>
                <w:bCs/>
              </w:rPr>
            </w:pPr>
            <w:r>
              <w:rPr>
                <w:b/>
                <w:bCs/>
              </w:rPr>
              <w:t>Project Description:</w:t>
            </w:r>
          </w:p>
        </w:tc>
      </w:tr>
      <w:tr w:rsidR="00657E3F" w14:paraId="2D5DF822" w14:textId="77777777" w:rsidTr="00F91561">
        <w:tc>
          <w:tcPr>
            <w:tcW w:w="9487" w:type="dxa"/>
          </w:tcPr>
          <w:p w14:paraId="13D22FF7" w14:textId="77777777" w:rsidR="00657E3F" w:rsidRDefault="00657E3F" w:rsidP="00F91561">
            <w:pPr>
              <w:spacing w:line="240" w:lineRule="auto"/>
              <w:rPr>
                <w:noProof/>
              </w:rPr>
            </w:pPr>
            <w:r>
              <w:rPr>
                <w:noProof/>
              </w:rPr>
              <w:t>Chronic pain is often driven by inflammation, with dorsal root ganglion (DRG) neurons transmitting inflammatory signals to the central nervous system. While NSAIDs are commonly used for pain relief, their long-term use is limited by side effects. Resveratrol (RSV), a polyphenol with anti-inflammatory and antioxidant properties, has been explored as an alternative, though its mechanisms in DRG cells remain unclear. RSV influences metabolic pathways, including soluble epoxide hydrolase, which degrades anti-inflammatory lipid mediators (EETs) into pro-inflammatory DHETs. Along with other lipid regulators, this pathway plays a key role in inflammation control. However, RSV exhibits cytotoxicity at high doses (&gt;100 μM), leading to apoptosis and mitochondrial dysfunction. To mitigate toxicity and enhance therapeutic efficacy, nano-formulation strategies can regulate RSV’s cellular availability, ensuring sustained anti-inflammatory effects while minimizing adverse responses (El-Melegy et al., 2021).</w:t>
            </w:r>
          </w:p>
          <w:p w14:paraId="0186C198" w14:textId="77777777" w:rsidR="00657E3F" w:rsidRDefault="00657E3F" w:rsidP="00F91561">
            <w:pPr>
              <w:spacing w:line="240" w:lineRule="auto"/>
              <w:rPr>
                <w:noProof/>
              </w:rPr>
            </w:pPr>
            <w:r>
              <w:rPr>
                <w:noProof/>
              </w:rPr>
              <w:t xml:space="preserve">This study aims to investigate the neuronal excitability and lipidomic profile of DRG neurons after stimulation with pro-inflammatory signals and then in response to anti-inflammatory resveratrol, both alone and formulated in nanocarrier systems. </w:t>
            </w:r>
          </w:p>
          <w:p w14:paraId="29BD93CD" w14:textId="77777777" w:rsidR="00657E3F" w:rsidRDefault="00657E3F" w:rsidP="00F91561">
            <w:pPr>
              <w:spacing w:line="240" w:lineRule="auto"/>
              <w:rPr>
                <w:noProof/>
              </w:rPr>
            </w:pPr>
            <w:r>
              <w:rPr>
                <w:noProof/>
              </w:rPr>
              <w:t>Objectives</w:t>
            </w:r>
          </w:p>
          <w:p w14:paraId="68DBE00F" w14:textId="77777777" w:rsidR="00657E3F" w:rsidRDefault="00657E3F" w:rsidP="00F91561">
            <w:pPr>
              <w:spacing w:line="240" w:lineRule="auto"/>
              <w:rPr>
                <w:noProof/>
              </w:rPr>
            </w:pPr>
            <w:r>
              <w:rPr>
                <w:noProof/>
              </w:rPr>
              <w:t>1.</w:t>
            </w:r>
            <w:r>
              <w:rPr>
                <w:noProof/>
              </w:rPr>
              <w:tab/>
              <w:t>To investigate the capacity of resveratrol, including RSV-nanocarrier systems, to interfere with the propagation of inflammatory-driven excitability of sensory axons.</w:t>
            </w:r>
          </w:p>
          <w:p w14:paraId="562F9AD1" w14:textId="77777777" w:rsidR="00657E3F" w:rsidRDefault="00657E3F" w:rsidP="00F91561">
            <w:pPr>
              <w:spacing w:line="240" w:lineRule="auto"/>
              <w:rPr>
                <w:noProof/>
              </w:rPr>
            </w:pPr>
            <w:r>
              <w:rPr>
                <w:noProof/>
              </w:rPr>
              <w:t>2.</w:t>
            </w:r>
            <w:r>
              <w:rPr>
                <w:noProof/>
              </w:rPr>
              <w:tab/>
              <w:t>To characterize the baseline lipidomic profile of untreated and sensitized DRG neurons in vitro.</w:t>
            </w:r>
          </w:p>
          <w:p w14:paraId="7B5333B7" w14:textId="77777777" w:rsidR="00657E3F" w:rsidRDefault="00657E3F" w:rsidP="00F91561">
            <w:pPr>
              <w:spacing w:line="240" w:lineRule="auto"/>
              <w:rPr>
                <w:noProof/>
              </w:rPr>
            </w:pPr>
            <w:r>
              <w:rPr>
                <w:noProof/>
              </w:rPr>
              <w:t>3.</w:t>
            </w:r>
            <w:r>
              <w:rPr>
                <w:noProof/>
              </w:rPr>
              <w:tab/>
              <w:t>To assess lipidomic changes induced by resveratrol alone or nanocarrier system in the presence versus absence of inflammatory stimuli.</w:t>
            </w:r>
          </w:p>
          <w:p w14:paraId="41F3F3FC" w14:textId="77777777" w:rsidR="00657E3F" w:rsidRDefault="00657E3F" w:rsidP="00F91561">
            <w:pPr>
              <w:spacing w:line="240" w:lineRule="auto"/>
              <w:rPr>
                <w:noProof/>
              </w:rPr>
            </w:pPr>
            <w:r>
              <w:rPr>
                <w:noProof/>
              </w:rPr>
              <w:t>Methodology</w:t>
            </w:r>
          </w:p>
          <w:p w14:paraId="46E3D1CE" w14:textId="77777777" w:rsidR="00657E3F" w:rsidRDefault="00657E3F" w:rsidP="00F91561">
            <w:pPr>
              <w:spacing w:line="240" w:lineRule="auto"/>
              <w:rPr>
                <w:noProof/>
              </w:rPr>
            </w:pPr>
            <w:r>
              <w:rPr>
                <w:noProof/>
              </w:rPr>
              <w:t>Cell Culture Model, Treatment Protocol, and Calcium Imaging (Weeks 1-5)</w:t>
            </w:r>
          </w:p>
          <w:p w14:paraId="2CF49BB6" w14:textId="77777777" w:rsidR="00657E3F" w:rsidRDefault="00657E3F" w:rsidP="00F91561">
            <w:pPr>
              <w:spacing w:line="240" w:lineRule="auto"/>
              <w:rPr>
                <w:noProof/>
              </w:rPr>
            </w:pPr>
            <w:r>
              <w:rPr>
                <w:noProof/>
              </w:rPr>
              <w:t xml:space="preserve">Primary DRG neurons will be isolated from C57BL/6 mouse embryos collected on embryonic days (E15–E16) and cultured in vitro under standard conditions. Normal or prostaglandins-sensitized DRG cultures will be exposed to anti-inflammatory RSV at </w:t>
            </w:r>
            <w:r>
              <w:rPr>
                <w:noProof/>
              </w:rPr>
              <w:lastRenderedPageBreak/>
              <w:t>relevant concentrations. Treatment duration will be optimized to capture both early and late metabolic changes. Control groups include untreated DRG cultures, sensitized cultures and vehicle-treated cultures to account for non-specific effects.</w:t>
            </w:r>
          </w:p>
          <w:p w14:paraId="3F0660B8" w14:textId="77777777" w:rsidR="00657E3F" w:rsidRDefault="00657E3F" w:rsidP="00F91561">
            <w:pPr>
              <w:spacing w:line="240" w:lineRule="auto"/>
              <w:rPr>
                <w:noProof/>
              </w:rPr>
            </w:pPr>
            <w:r>
              <w:rPr>
                <w:noProof/>
              </w:rPr>
              <w:t xml:space="preserve">To determine the effects of anti-inflammatory candidates on sensory axon excitability (Paldy et al., 2017), the prostaglandin E2-sensitized DRG neurons will be incubated with loaded with Fluo-5 (1µM) for 30 min. Signals will then be recorded with a fluorescence microscope in response to capsaicin (200nM) and KCl </w:t>
            </w:r>
          </w:p>
          <w:p w14:paraId="72B9573F" w14:textId="77777777" w:rsidR="00657E3F" w:rsidRDefault="00657E3F" w:rsidP="00F91561">
            <w:pPr>
              <w:spacing w:line="240" w:lineRule="auto"/>
              <w:rPr>
                <w:noProof/>
              </w:rPr>
            </w:pPr>
            <w:r>
              <w:rPr>
                <w:noProof/>
              </w:rPr>
              <w:t>Lipidomic Analysis (Weeks 5-9)</w:t>
            </w:r>
          </w:p>
          <w:p w14:paraId="4B54F503" w14:textId="77777777" w:rsidR="00657E3F" w:rsidRDefault="00657E3F" w:rsidP="00F91561">
            <w:pPr>
              <w:spacing w:line="240" w:lineRule="auto"/>
              <w:rPr>
                <w:noProof/>
              </w:rPr>
            </w:pPr>
            <w:r>
              <w:rPr>
                <w:noProof/>
              </w:rPr>
              <w:t xml:space="preserve">Targeted lipidomic approaches on supernatant media samples will be used to quantify levels of lipid mediators. High-resolution liquid chromatography-mass spectrometry (LC-MS/MS) will be employed to detect and quantify key lipid mediators in treated and untreated DRG cultures. Univariate and multivariate approaches will be used to assess changes in the lipid mediator profiles of the DRG neurons and the biological interpretation of these pathways. </w:t>
            </w:r>
          </w:p>
          <w:p w14:paraId="154847F0" w14:textId="77777777" w:rsidR="00657E3F" w:rsidRDefault="00657E3F" w:rsidP="00F91561">
            <w:pPr>
              <w:spacing w:line="240" w:lineRule="auto"/>
              <w:rPr>
                <w:noProof/>
              </w:rPr>
            </w:pPr>
            <w:r>
              <w:rPr>
                <w:noProof/>
              </w:rPr>
              <w:t>Data Analysis (Weeks 2-9)</w:t>
            </w:r>
          </w:p>
          <w:p w14:paraId="10FC7F7B" w14:textId="77777777" w:rsidR="00657E3F" w:rsidRDefault="00657E3F" w:rsidP="00F91561">
            <w:pPr>
              <w:spacing w:line="240" w:lineRule="auto"/>
              <w:rPr>
                <w:noProof/>
              </w:rPr>
            </w:pPr>
            <w:r>
              <w:rPr>
                <w:noProof/>
              </w:rPr>
              <w:t xml:space="preserve">Report summary and presentation (Weeks 8-10)  </w:t>
            </w:r>
          </w:p>
          <w:p w14:paraId="41B35B7D" w14:textId="77777777" w:rsidR="00657E3F" w:rsidRDefault="00657E3F" w:rsidP="00F91561">
            <w:pPr>
              <w:spacing w:line="240" w:lineRule="auto"/>
              <w:rPr>
                <w:noProof/>
              </w:rPr>
            </w:pPr>
            <w:r>
              <w:rPr>
                <w:noProof/>
              </w:rPr>
              <w:t>Expected Outcomes</w:t>
            </w:r>
          </w:p>
          <w:p w14:paraId="18C9A108" w14:textId="77777777" w:rsidR="00657E3F" w:rsidRDefault="00657E3F" w:rsidP="00F91561">
            <w:pPr>
              <w:spacing w:line="240" w:lineRule="auto"/>
              <w:rPr>
                <w:noProof/>
              </w:rPr>
            </w:pPr>
            <w:r>
              <w:rPr>
                <w:noProof/>
              </w:rPr>
              <w:t>This project will help students develop skills and knowledge in RSV and RSV-nanocarriers' effects on neuronal excitability and lipid signalling in sensitized DRG neurons, potentially uncovering lipid metabolism changes in eicosanoids and prostaglandins, key inflammation and pain regulators.</w:t>
            </w:r>
          </w:p>
          <w:p w14:paraId="0A33627D" w14:textId="77777777" w:rsidR="00657E3F" w:rsidRDefault="00657E3F" w:rsidP="00657E3F">
            <w:pPr>
              <w:spacing w:line="240" w:lineRule="auto"/>
              <w:rPr>
                <w:noProof/>
              </w:rPr>
            </w:pPr>
            <w:r>
              <w:rPr>
                <w:noProof/>
              </w:rPr>
              <w:t>Future Directions</w:t>
            </w:r>
          </w:p>
          <w:p w14:paraId="7055F9D3" w14:textId="77777777" w:rsidR="00657E3F" w:rsidRDefault="00657E3F" w:rsidP="00657E3F">
            <w:pPr>
              <w:spacing w:line="240" w:lineRule="auto"/>
            </w:pPr>
            <w:r>
              <w:rPr>
                <w:noProof/>
              </w:rPr>
              <w:t>Understanding resveratrol’s lipidomic effects on DRG neurons could enhance neuropathic pain treatments and identify biomarkers for personalized therapies. Future research may confirm lipidomic changes in response to different agonists and antagonists, advancing pain management strategies.</w:t>
            </w:r>
          </w:p>
        </w:tc>
      </w:tr>
      <w:tr w:rsidR="00657E3F" w14:paraId="1EFDA727" w14:textId="77777777" w:rsidTr="00F91561">
        <w:tc>
          <w:tcPr>
            <w:tcW w:w="9487" w:type="dxa"/>
          </w:tcPr>
          <w:p w14:paraId="0904FA29" w14:textId="77777777" w:rsidR="00657E3F" w:rsidRPr="00F95598" w:rsidRDefault="00657E3F" w:rsidP="00F91561">
            <w:pPr>
              <w:rPr>
                <w:b/>
                <w:bCs/>
              </w:rPr>
            </w:pPr>
            <w:r>
              <w:rPr>
                <w:b/>
                <w:bCs/>
              </w:rPr>
              <w:lastRenderedPageBreak/>
              <w:t>Bench Supervisor:</w:t>
            </w:r>
          </w:p>
        </w:tc>
      </w:tr>
      <w:tr w:rsidR="00657E3F" w14:paraId="63D4AB2A" w14:textId="77777777" w:rsidTr="00F91561">
        <w:tc>
          <w:tcPr>
            <w:tcW w:w="9487" w:type="dxa"/>
          </w:tcPr>
          <w:p w14:paraId="040235C0" w14:textId="77777777" w:rsidR="00657E3F" w:rsidRDefault="00657E3F" w:rsidP="00F91561">
            <w:r>
              <w:rPr>
                <w:noProof/>
              </w:rPr>
              <w:t>1.Hoda Eltaher 2.James Turnbull</w:t>
            </w:r>
          </w:p>
        </w:tc>
      </w:tr>
      <w:tr w:rsidR="00657E3F" w14:paraId="43547264" w14:textId="77777777" w:rsidTr="00F91561">
        <w:tc>
          <w:tcPr>
            <w:tcW w:w="9487" w:type="dxa"/>
          </w:tcPr>
          <w:p w14:paraId="70B74EBC" w14:textId="77777777" w:rsidR="00657E3F" w:rsidRPr="00FE4988" w:rsidRDefault="00657E3F" w:rsidP="00F91561">
            <w:pPr>
              <w:rPr>
                <w:b/>
                <w:bCs/>
              </w:rPr>
            </w:pPr>
            <w:r>
              <w:rPr>
                <w:b/>
                <w:bCs/>
              </w:rPr>
              <w:t>Potential skills that can be developed:</w:t>
            </w:r>
          </w:p>
        </w:tc>
      </w:tr>
      <w:tr w:rsidR="00657E3F" w14:paraId="57E494E1" w14:textId="77777777" w:rsidTr="00F91561">
        <w:tc>
          <w:tcPr>
            <w:tcW w:w="9487" w:type="dxa"/>
          </w:tcPr>
          <w:p w14:paraId="19B535FB" w14:textId="0480F8BB" w:rsidR="00657E3F" w:rsidRDefault="00657E3F" w:rsidP="00F91561">
            <w:r>
              <w:rPr>
                <w:noProof/>
              </w:rPr>
              <w:t>mass spectrometry;</w:t>
            </w:r>
            <w:r>
              <w:rPr>
                <w:noProof/>
              </w:rPr>
              <w:t xml:space="preserve"> </w:t>
            </w:r>
            <w:r>
              <w:rPr>
                <w:noProof/>
              </w:rPr>
              <w:t>big data analysis;</w:t>
            </w:r>
            <w:r>
              <w:rPr>
                <w:noProof/>
              </w:rPr>
              <w:t xml:space="preserve"> </w:t>
            </w:r>
            <w:r>
              <w:rPr>
                <w:noProof/>
              </w:rPr>
              <w:t>systems biology;</w:t>
            </w:r>
            <w:r>
              <w:rPr>
                <w:noProof/>
              </w:rPr>
              <w:t xml:space="preserve"> </w:t>
            </w:r>
            <w:r>
              <w:rPr>
                <w:noProof/>
              </w:rPr>
              <w:t>therapeutics;</w:t>
            </w:r>
            <w:r>
              <w:rPr>
                <w:noProof/>
              </w:rPr>
              <w:t xml:space="preserve"> </w:t>
            </w:r>
            <w:r>
              <w:rPr>
                <w:noProof/>
              </w:rPr>
              <w:t>animal tissue culture;</w:t>
            </w:r>
            <w:r>
              <w:rPr>
                <w:noProof/>
              </w:rPr>
              <w:t xml:space="preserve"> </w:t>
            </w:r>
            <w:r>
              <w:rPr>
                <w:noProof/>
              </w:rPr>
              <w:t>metabolomics;</w:t>
            </w:r>
            <w:r>
              <w:rPr>
                <w:noProof/>
              </w:rPr>
              <w:t xml:space="preserve"> </w:t>
            </w:r>
            <w:r>
              <w:rPr>
                <w:noProof/>
              </w:rPr>
              <w:t>biochemistry;</w:t>
            </w:r>
          </w:p>
        </w:tc>
      </w:tr>
      <w:tr w:rsidR="00657E3F" w14:paraId="17BF78DE" w14:textId="77777777" w:rsidTr="00F91561">
        <w:tc>
          <w:tcPr>
            <w:tcW w:w="9487" w:type="dxa"/>
          </w:tcPr>
          <w:p w14:paraId="77306C81" w14:textId="77777777" w:rsidR="00657E3F" w:rsidRDefault="00657E3F" w:rsidP="00F91561">
            <w:r>
              <w:rPr>
                <w:b/>
                <w:bCs/>
              </w:rPr>
              <w:t>Training opportunities:</w:t>
            </w:r>
          </w:p>
        </w:tc>
      </w:tr>
      <w:tr w:rsidR="00657E3F" w14:paraId="572E6589" w14:textId="77777777" w:rsidTr="00F91561">
        <w:tc>
          <w:tcPr>
            <w:tcW w:w="9487" w:type="dxa"/>
          </w:tcPr>
          <w:p w14:paraId="278C949F" w14:textId="77777777" w:rsidR="00657E3F" w:rsidRDefault="00657E3F" w:rsidP="00F91561">
            <w:r>
              <w:rPr>
                <w:noProof/>
              </w:rPr>
              <w:t>Training on primary DRG cell culture, calcium imaging, and mass spectroscopy</w:t>
            </w:r>
          </w:p>
        </w:tc>
      </w:tr>
    </w:tbl>
    <w:p w14:paraId="68E2FCE5" w14:textId="77777777" w:rsidR="00197231" w:rsidRDefault="00197231"/>
    <w:sectPr w:rsidR="00197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3F"/>
    <w:rsid w:val="00110DAA"/>
    <w:rsid w:val="00197231"/>
    <w:rsid w:val="001B0A1E"/>
    <w:rsid w:val="0030330A"/>
    <w:rsid w:val="00657E3F"/>
    <w:rsid w:val="00C3719B"/>
    <w:rsid w:val="00CD51D1"/>
    <w:rsid w:val="00FA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5B09"/>
  <w15:chartTrackingRefBased/>
  <w15:docId w15:val="{0FD2475C-C360-4EB5-B8A8-4356A3D8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3F"/>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657E3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unhideWhenUsed/>
    <w:qFormat/>
    <w:rsid w:val="00657E3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657E3F"/>
    <w:pPr>
      <w:keepNext/>
      <w:keepLines/>
      <w:spacing w:before="160" w:after="80" w:line="259"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657E3F"/>
    <w:pPr>
      <w:keepNext/>
      <w:keepLines/>
      <w:spacing w:before="80" w:after="40" w:line="259" w:lineRule="auto"/>
      <w:outlineLvl w:val="3"/>
    </w:pPr>
    <w:rPr>
      <w:rFonts w:eastAsiaTheme="majorEastAsia"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657E3F"/>
    <w:pPr>
      <w:keepNext/>
      <w:keepLines/>
      <w:spacing w:before="80" w:after="40" w:line="259" w:lineRule="auto"/>
      <w:outlineLvl w:val="4"/>
    </w:pPr>
    <w:rPr>
      <w:rFonts w:eastAsiaTheme="majorEastAsia"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657E3F"/>
    <w:pPr>
      <w:keepNext/>
      <w:keepLines/>
      <w:spacing w:before="40" w:after="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657E3F"/>
    <w:pPr>
      <w:keepNext/>
      <w:keepLines/>
      <w:spacing w:before="40" w:after="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657E3F"/>
    <w:pPr>
      <w:keepNext/>
      <w:keepLines/>
      <w:spacing w:after="0"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657E3F"/>
    <w:pPr>
      <w:keepNext/>
      <w:keepLines/>
      <w:spacing w:after="0"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7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E3F"/>
    <w:rPr>
      <w:rFonts w:eastAsiaTheme="majorEastAsia" w:cstheme="majorBidi"/>
      <w:color w:val="272727" w:themeColor="text1" w:themeTint="D8"/>
    </w:rPr>
  </w:style>
  <w:style w:type="paragraph" w:styleId="Title">
    <w:name w:val="Title"/>
    <w:basedOn w:val="Normal"/>
    <w:next w:val="Normal"/>
    <w:link w:val="TitleChar"/>
    <w:uiPriority w:val="10"/>
    <w:qFormat/>
    <w:rsid w:val="00657E3F"/>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657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E3F"/>
    <w:pPr>
      <w:numPr>
        <w:ilvl w:val="1"/>
      </w:numPr>
      <w:spacing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657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E3F"/>
    <w:pPr>
      <w:spacing w:before="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657E3F"/>
    <w:rPr>
      <w:i/>
      <w:iCs/>
      <w:color w:val="404040" w:themeColor="text1" w:themeTint="BF"/>
    </w:rPr>
  </w:style>
  <w:style w:type="paragraph" w:styleId="ListParagraph">
    <w:name w:val="List Paragraph"/>
    <w:basedOn w:val="Normal"/>
    <w:uiPriority w:val="34"/>
    <w:qFormat/>
    <w:rsid w:val="00657E3F"/>
    <w:pPr>
      <w:spacing w:line="259" w:lineRule="auto"/>
      <w:ind w:left="720"/>
      <w:contextualSpacing/>
    </w:pPr>
    <w:rPr>
      <w:rFonts w:eastAsiaTheme="minorHAnsi"/>
      <w:kern w:val="2"/>
      <w:sz w:val="22"/>
      <w:szCs w:val="22"/>
      <w:lang w:val="en-GB" w:eastAsia="en-US"/>
      <w14:ligatures w14:val="standardContextual"/>
    </w:rPr>
  </w:style>
  <w:style w:type="character" w:styleId="IntenseEmphasis">
    <w:name w:val="Intense Emphasis"/>
    <w:basedOn w:val="DefaultParagraphFont"/>
    <w:uiPriority w:val="21"/>
    <w:qFormat/>
    <w:rsid w:val="00657E3F"/>
    <w:rPr>
      <w:i/>
      <w:iCs/>
      <w:color w:val="0F4761" w:themeColor="accent1" w:themeShade="BF"/>
    </w:rPr>
  </w:style>
  <w:style w:type="paragraph" w:styleId="IntenseQuote">
    <w:name w:val="Intense Quote"/>
    <w:basedOn w:val="Normal"/>
    <w:next w:val="Normal"/>
    <w:link w:val="IntenseQuoteChar"/>
    <w:uiPriority w:val="30"/>
    <w:qFormat/>
    <w:rsid w:val="00657E3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657E3F"/>
    <w:rPr>
      <w:i/>
      <w:iCs/>
      <w:color w:val="0F4761" w:themeColor="accent1" w:themeShade="BF"/>
    </w:rPr>
  </w:style>
  <w:style w:type="character" w:styleId="IntenseReference">
    <w:name w:val="Intense Reference"/>
    <w:basedOn w:val="DefaultParagraphFont"/>
    <w:uiPriority w:val="32"/>
    <w:qFormat/>
    <w:rsid w:val="00657E3F"/>
    <w:rPr>
      <w:b/>
      <w:bCs/>
      <w:smallCaps/>
      <w:color w:val="0F4761" w:themeColor="accent1" w:themeShade="BF"/>
      <w:spacing w:val="5"/>
    </w:rPr>
  </w:style>
  <w:style w:type="table" w:styleId="TableGrid">
    <w:name w:val="Table Grid"/>
    <w:basedOn w:val="TableNormal"/>
    <w:uiPriority w:val="39"/>
    <w:rsid w:val="00657E3F"/>
    <w:pPr>
      <w:spacing w:after="0" w:line="240" w:lineRule="auto"/>
    </w:pPr>
    <w:rPr>
      <w:rFonts w:eastAsiaTheme="minorEastAsia"/>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05A64DBFC34092905EEA2E0F2EB9" ma:contentTypeVersion="18" ma:contentTypeDescription="Create a new document." ma:contentTypeScope="" ma:versionID="3e5af8ce12ced8a89ac2d8739a5adaef">
  <xsd:schema xmlns:xsd="http://www.w3.org/2001/XMLSchema" xmlns:xs="http://www.w3.org/2001/XMLSchema" xmlns:p="http://schemas.microsoft.com/office/2006/metadata/properties" xmlns:ns2="5765dd33-e124-4a0e-a950-e0c4e8c7276c" xmlns:ns3="d5bb1f6e-ddef-4cf8-907b-260a4ceba171" targetNamespace="http://schemas.microsoft.com/office/2006/metadata/properties" ma:root="true" ma:fieldsID="bac16e1b2315eef9bd528b04d8dfed94" ns2:_="" ns3:_="">
    <xsd:import namespace="5765dd33-e124-4a0e-a950-e0c4e8c7276c"/>
    <xsd:import namespace="d5bb1f6e-ddef-4cf8-907b-260a4ceba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5dd33-e124-4a0e-a950-e0c4e8c72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b1f6e-ddef-4cf8-907b-260a4ceba1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08671-14ed-465c-b3a8-33eb9a1bb1cd}" ma:internalName="TaxCatchAll" ma:showField="CatchAllData" ma:web="d5bb1f6e-ddef-4cf8-907b-260a4ceba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bb1f6e-ddef-4cf8-907b-260a4ceba171"/>
    <lcf76f155ced4ddcb4097134ff3c332f xmlns="5765dd33-e124-4a0e-a950-e0c4e8c72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B07073-B788-4E84-A815-173D96EB5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5dd33-e124-4a0e-a950-e0c4e8c7276c"/>
    <ds:schemaRef ds:uri="d5bb1f6e-ddef-4cf8-907b-260a4ceba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0D01C-7CB5-42DC-8885-624672CAECDE}">
  <ds:schemaRefs>
    <ds:schemaRef ds:uri="http://schemas.microsoft.com/sharepoint/v3/contenttype/forms"/>
  </ds:schemaRefs>
</ds:datastoreItem>
</file>

<file path=customXml/itemProps3.xml><?xml version="1.0" encoding="utf-8"?>
<ds:datastoreItem xmlns:ds="http://schemas.openxmlformats.org/officeDocument/2006/customXml" ds:itemID="{06B2F1D2-6316-4A8F-9036-A2F221AD9BDB}">
  <ds:schemaRefs>
    <ds:schemaRef ds:uri="d5bb1f6e-ddef-4cf8-907b-260a4ceba171"/>
    <ds:schemaRef ds:uri="5765dd33-e124-4a0e-a950-e0c4e8c7276c"/>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3791</Characters>
  <Application>Microsoft Office Word</Application>
  <DocSecurity>0</DocSecurity>
  <Lines>31</Lines>
  <Paragraphs>8</Paragraphs>
  <ScaleCrop>false</ScaleCrop>
  <Company>University of Nottingham</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Barton (staff)</dc:creator>
  <cp:keywords/>
  <dc:description/>
  <cp:lastModifiedBy>Clare Barton (staff)</cp:lastModifiedBy>
  <cp:revision>1</cp:revision>
  <dcterms:created xsi:type="dcterms:W3CDTF">2025-03-12T15:22:00Z</dcterms:created>
  <dcterms:modified xsi:type="dcterms:W3CDTF">2025-03-12T15:23:00Z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0x010100984805A64DBFC34092905EEA2E0F2EB9</vt:lpwstr>
  </property>
</Properties>
</file>