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6139788" w:rsidR="001A6288" w:rsidRDefault="76992E33" w:rsidP="5416D0A9">
      <w:r w:rsidRPr="5416D0A9">
        <w:t xml:space="preserve">University Counselling Service </w:t>
      </w:r>
      <w:r w:rsidR="259CA4EB" w:rsidRPr="5416D0A9">
        <w:t>E</w:t>
      </w:r>
      <w:r w:rsidR="3B158D2F" w:rsidRPr="5416D0A9">
        <w:t xml:space="preserve">quality </w:t>
      </w:r>
      <w:r w:rsidR="259CA4EB" w:rsidRPr="5416D0A9">
        <w:t>D</w:t>
      </w:r>
      <w:r w:rsidR="05D684B6" w:rsidRPr="5416D0A9">
        <w:t xml:space="preserve">iversity and </w:t>
      </w:r>
      <w:r w:rsidR="259CA4EB" w:rsidRPr="5416D0A9">
        <w:t>I</w:t>
      </w:r>
      <w:r w:rsidR="2EAFB2C9" w:rsidRPr="5416D0A9">
        <w:t>nclusion</w:t>
      </w:r>
      <w:r w:rsidR="259CA4EB" w:rsidRPr="5416D0A9">
        <w:t xml:space="preserve"> Strategy</w:t>
      </w:r>
    </w:p>
    <w:p w14:paraId="213F4F45" w14:textId="4F4ECDB9" w:rsidR="259CA4EB" w:rsidRDefault="259CA4EB" w:rsidP="5416D0A9">
      <w:pPr>
        <w:rPr>
          <w:color w:val="3A3A3A" w:themeColor="background2" w:themeShade="40"/>
        </w:rPr>
      </w:pPr>
      <w:r w:rsidRPr="5416D0A9">
        <w:rPr>
          <w:color w:val="3A3A3A" w:themeColor="background2" w:themeShade="40"/>
        </w:rPr>
        <w:t>The University</w:t>
      </w:r>
      <w:r w:rsidR="75EAC142" w:rsidRPr="5416D0A9">
        <w:rPr>
          <w:color w:val="3A3A3A" w:themeColor="background2" w:themeShade="40"/>
        </w:rPr>
        <w:t xml:space="preserve"> of Nottingham (UoN)</w:t>
      </w:r>
      <w:r w:rsidRPr="5416D0A9">
        <w:rPr>
          <w:color w:val="3A3A3A" w:themeColor="background2" w:themeShade="40"/>
        </w:rPr>
        <w:t xml:space="preserve"> is committed to a policy of equal opportunities for all. </w:t>
      </w:r>
      <w:r w:rsidR="32A4B675" w:rsidRPr="5416D0A9">
        <w:rPr>
          <w:color w:val="3A3A3A" w:themeColor="background2" w:themeShade="40"/>
        </w:rPr>
        <w:t>UoN</w:t>
      </w:r>
      <w:r w:rsidRPr="5416D0A9">
        <w:rPr>
          <w:color w:val="3A3A3A" w:themeColor="background2" w:themeShade="40"/>
        </w:rPr>
        <w:t>, of which the Counselling Service is an integral part, promotes and supports many initiatives in all areas of equality.</w:t>
      </w:r>
    </w:p>
    <w:p w14:paraId="60222F90" w14:textId="487E75ED" w:rsidR="259CA4EB" w:rsidRDefault="259CA4EB" w:rsidP="7607AEB5">
      <w:pPr>
        <w:spacing w:before="240" w:after="240"/>
        <w:rPr>
          <w:color w:val="000000" w:themeColor="text1"/>
        </w:rPr>
      </w:pPr>
      <w:r w:rsidRPr="7607AEB5">
        <w:rPr>
          <w:color w:val="3A3A3A" w:themeColor="background2" w:themeShade="40"/>
        </w:rPr>
        <w:t>As a service accredited by the British Association for Counselling and Psychotherapy we are</w:t>
      </w:r>
      <w:r w:rsidR="10F1085E" w:rsidRPr="7607AEB5">
        <w:rPr>
          <w:color w:val="3A3A3A" w:themeColor="background2" w:themeShade="40"/>
        </w:rPr>
        <w:t xml:space="preserve"> </w:t>
      </w:r>
      <w:r w:rsidR="6FD2946C" w:rsidRPr="7607AEB5">
        <w:rPr>
          <w:color w:val="3A3A3A" w:themeColor="background2" w:themeShade="40"/>
        </w:rPr>
        <w:t>additionally</w:t>
      </w:r>
      <w:r w:rsidRPr="7607AEB5">
        <w:rPr>
          <w:color w:val="3A3A3A" w:themeColor="background2" w:themeShade="40"/>
        </w:rPr>
        <w:t xml:space="preserve"> committed to working within the BACP Ethical Framework</w:t>
      </w:r>
      <w:r w:rsidR="037CB7B5" w:rsidRPr="7607AEB5">
        <w:rPr>
          <w:color w:val="3A3A3A" w:themeColor="background2" w:themeShade="40"/>
        </w:rPr>
        <w:t xml:space="preserve"> </w:t>
      </w:r>
      <w:hyperlink r:id="rId5">
        <w:r w:rsidR="037CB7B5" w:rsidRPr="7607AEB5">
          <w:rPr>
            <w:rStyle w:val="Hyperlink"/>
          </w:rPr>
          <w:t>BACP: Ethical Framework for Counselling Professions</w:t>
        </w:r>
      </w:hyperlink>
      <w:r w:rsidR="086E11E5" w:rsidRPr="7607AEB5">
        <w:t xml:space="preserve"> </w:t>
      </w:r>
      <w:r w:rsidR="086E11E5" w:rsidRPr="7607AEB5">
        <w:rPr>
          <w:color w:val="000000" w:themeColor="text1"/>
        </w:rPr>
        <w:t xml:space="preserve">which acts as a guide in relation to the ethics of equality, diversity and inclusion within a counselling context. An awareness of diversity issues in counselling is important to ensure we are abiding by the principle of 'Justice', which is a core aspect of </w:t>
      </w:r>
      <w:proofErr w:type="spellStart"/>
      <w:r w:rsidR="086E11E5" w:rsidRPr="7607AEB5">
        <w:rPr>
          <w:color w:val="000000" w:themeColor="text1"/>
        </w:rPr>
        <w:t>BACP's</w:t>
      </w:r>
      <w:proofErr w:type="spellEnd"/>
      <w:r w:rsidR="086E11E5" w:rsidRPr="7607AEB5">
        <w:rPr>
          <w:color w:val="000000" w:themeColor="text1"/>
        </w:rPr>
        <w:t xml:space="preserve"> Ethical Framework.</w:t>
      </w:r>
    </w:p>
    <w:p w14:paraId="3318721E" w14:textId="48779E2B" w:rsidR="259CA4EB" w:rsidRDefault="086E11E5" w:rsidP="7607AEB5">
      <w:pPr>
        <w:spacing w:before="240" w:after="240"/>
        <w:rPr>
          <w:color w:val="000000" w:themeColor="text1"/>
        </w:rPr>
      </w:pPr>
      <w:r w:rsidRPr="7607AEB5">
        <w:rPr>
          <w:color w:val="000000" w:themeColor="text1"/>
        </w:rPr>
        <w:t>· We appreciate the variety of human experience and culture</w:t>
      </w:r>
    </w:p>
    <w:p w14:paraId="2218A2D9" w14:textId="77C07E99" w:rsidR="259CA4EB" w:rsidRDefault="086E11E5" w:rsidP="7607AEB5">
      <w:pPr>
        <w:spacing w:before="240" w:after="240"/>
        <w:rPr>
          <w:color w:val="000000" w:themeColor="text1"/>
        </w:rPr>
      </w:pPr>
      <w:r w:rsidRPr="7607AEB5">
        <w:rPr>
          <w:color w:val="000000" w:themeColor="text1"/>
        </w:rPr>
        <w:t>· We strive for the fair and adequate provision of services</w:t>
      </w:r>
    </w:p>
    <w:p w14:paraId="28C92FC3" w14:textId="024ADEB9" w:rsidR="259CA4EB" w:rsidRDefault="086E11E5" w:rsidP="7607AEB5">
      <w:pPr>
        <w:spacing w:before="240" w:after="240"/>
        <w:rPr>
          <w:color w:val="000000" w:themeColor="text1"/>
        </w:rPr>
      </w:pPr>
      <w:r w:rsidRPr="7607AEB5">
        <w:rPr>
          <w:color w:val="000000" w:themeColor="text1"/>
        </w:rPr>
        <w:t>· We act in line with the principle of justice - fair and impartial treatment of all clients and the provision of adequate services.</w:t>
      </w:r>
    </w:p>
    <w:p w14:paraId="51214316" w14:textId="1A7564B6" w:rsidR="259CA4EB" w:rsidRDefault="259CA4EB" w:rsidP="7607AEB5"/>
    <w:p w14:paraId="2C9AE9ED" w14:textId="5B34CCDF" w:rsidR="03612C13" w:rsidRDefault="03612C13" w:rsidP="7607AEB5">
      <w:r w:rsidRPr="7607AEB5">
        <w:t xml:space="preserve">In accordance with </w:t>
      </w:r>
      <w:proofErr w:type="gramStart"/>
      <w:r w:rsidRPr="7607AEB5">
        <w:t>University</w:t>
      </w:r>
      <w:proofErr w:type="gramEnd"/>
      <w:r w:rsidRPr="7607AEB5">
        <w:t xml:space="preserve"> policy, the Counselling Service aims to create an environment that enables all students to participate fully in</w:t>
      </w:r>
      <w:r w:rsidR="5B218BC2" w:rsidRPr="7607AEB5">
        <w:t xml:space="preserve"> their student journey. In the pursuit of this aim, the University</w:t>
      </w:r>
      <w:r w:rsidR="22F85C17" w:rsidRPr="7607AEB5">
        <w:t xml:space="preserve"> </w:t>
      </w:r>
      <w:r w:rsidR="5B218BC2" w:rsidRPr="7607AEB5">
        <w:t>Counselling Service will be guided by</w:t>
      </w:r>
      <w:r w:rsidR="31C4F1B1" w:rsidRPr="7607AEB5">
        <w:t xml:space="preserve"> </w:t>
      </w:r>
      <w:r w:rsidR="7679CD63" w:rsidRPr="7607AEB5">
        <w:t>UON’s EDI</w:t>
      </w:r>
      <w:r w:rsidR="31C4F1B1" w:rsidRPr="7607AEB5">
        <w:t xml:space="preserve"> priorities which provide the strategic vision and direction to ensure we are inclusive by design</w:t>
      </w:r>
      <w:r w:rsidR="74AA58E5" w:rsidRPr="7607AEB5">
        <w:t xml:space="preserve">. We will be </w:t>
      </w:r>
      <w:r w:rsidR="049B142C" w:rsidRPr="7607AEB5">
        <w:t xml:space="preserve">additionally </w:t>
      </w:r>
      <w:r w:rsidR="74AA58E5" w:rsidRPr="7607AEB5">
        <w:t>supported and guided by a range of resources including UON’s EDI in Practice</w:t>
      </w:r>
      <w:r w:rsidR="2F9E06E2" w:rsidRPr="7607AEB5">
        <w:t>.</w:t>
      </w:r>
    </w:p>
    <w:p w14:paraId="73594328" w14:textId="3C182C7C" w:rsidR="6572496E" w:rsidRDefault="00BA41E4" w:rsidP="7607AEB5">
      <w:pPr>
        <w:rPr>
          <w:rStyle w:val="Hyperlink"/>
        </w:rPr>
      </w:pPr>
      <w:hyperlink r:id="rId6">
        <w:r w:rsidR="6572496E" w:rsidRPr="7607AEB5">
          <w:rPr>
            <w:rStyle w:val="Hyperlink"/>
          </w:rPr>
          <w:t>University of Nottingham EDI Strategic Plan</w:t>
        </w:r>
      </w:hyperlink>
    </w:p>
    <w:p w14:paraId="6A143CB6" w14:textId="3E6EC7D2" w:rsidR="6E02DA47" w:rsidRDefault="00BA41E4" w:rsidP="7607AEB5">
      <w:pPr>
        <w:spacing w:after="0" w:line="240" w:lineRule="auto"/>
        <w:rPr>
          <w:rFonts w:ascii="Aptos" w:eastAsia="Aptos" w:hAnsi="Aptos" w:cs="Aptos"/>
          <w:color w:val="FF0000"/>
        </w:rPr>
      </w:pPr>
      <w:hyperlink r:id="rId7">
        <w:r w:rsidR="6E02DA47" w:rsidRPr="7607AEB5">
          <w:rPr>
            <w:rStyle w:val="Hyperlink"/>
            <w:rFonts w:ascii="Aptos" w:eastAsia="Aptos" w:hAnsi="Aptos" w:cs="Aptos"/>
          </w:rPr>
          <w:t>University of Nottingham EDI in Practice</w:t>
        </w:r>
      </w:hyperlink>
    </w:p>
    <w:p w14:paraId="3BDD4387" w14:textId="24EB19C9" w:rsidR="7607AEB5" w:rsidRDefault="7607AEB5" w:rsidP="7607AEB5">
      <w:pPr>
        <w:spacing w:after="0" w:line="240" w:lineRule="auto"/>
        <w:rPr>
          <w:rFonts w:ascii="Aptos" w:eastAsia="Aptos" w:hAnsi="Aptos" w:cs="Aptos"/>
          <w:color w:val="FF0000"/>
        </w:rPr>
      </w:pPr>
    </w:p>
    <w:p w14:paraId="73C225E0" w14:textId="57479E9C" w:rsidR="7607AEB5" w:rsidRDefault="7607AEB5" w:rsidP="7607AEB5">
      <w:pPr>
        <w:spacing w:after="0" w:line="240" w:lineRule="auto"/>
        <w:rPr>
          <w:rFonts w:ascii="Aptos" w:eastAsia="Aptos" w:hAnsi="Aptos" w:cs="Aptos"/>
          <w:color w:val="467886"/>
        </w:rPr>
      </w:pPr>
    </w:p>
    <w:p w14:paraId="29F117BF" w14:textId="6F583124" w:rsidR="61CCD82E" w:rsidRDefault="61CCD82E" w:rsidP="5416D0A9">
      <w:pPr>
        <w:rPr>
          <w:color w:val="3A3A3A" w:themeColor="background2" w:themeShade="40"/>
        </w:rPr>
      </w:pPr>
      <w:r w:rsidRPr="5416D0A9">
        <w:rPr>
          <w:color w:val="3A3A3A" w:themeColor="background2" w:themeShade="40"/>
        </w:rPr>
        <w:t xml:space="preserve">We </w:t>
      </w:r>
      <w:proofErr w:type="spellStart"/>
      <w:r w:rsidRPr="5416D0A9">
        <w:rPr>
          <w:color w:val="3A3A3A" w:themeColor="background2" w:themeShade="40"/>
        </w:rPr>
        <w:t>recognise</w:t>
      </w:r>
      <w:proofErr w:type="spellEnd"/>
      <w:r w:rsidRPr="5416D0A9">
        <w:rPr>
          <w:color w:val="3A3A3A" w:themeColor="background2" w:themeShade="40"/>
        </w:rPr>
        <w:t xml:space="preserve"> the barriers that some students can experience in accessing counselling</w:t>
      </w:r>
      <w:r w:rsidR="326DBFB9" w:rsidRPr="5416D0A9">
        <w:rPr>
          <w:color w:val="3A3A3A" w:themeColor="background2" w:themeShade="40"/>
        </w:rPr>
        <w:t xml:space="preserve"> and we remain committed to reducing these barriers to support equal access for all students</w:t>
      </w:r>
      <w:r w:rsidR="3D71E4D4" w:rsidRPr="5416D0A9">
        <w:rPr>
          <w:color w:val="3A3A3A" w:themeColor="background2" w:themeShade="40"/>
        </w:rPr>
        <w:t xml:space="preserve">. We </w:t>
      </w:r>
      <w:proofErr w:type="spellStart"/>
      <w:r w:rsidR="3D71E4D4" w:rsidRPr="5416D0A9">
        <w:rPr>
          <w:color w:val="3A3A3A" w:themeColor="background2" w:themeShade="40"/>
        </w:rPr>
        <w:t>recognise</w:t>
      </w:r>
      <w:proofErr w:type="spellEnd"/>
      <w:r w:rsidR="3D71E4D4" w:rsidRPr="5416D0A9">
        <w:rPr>
          <w:color w:val="3A3A3A" w:themeColor="background2" w:themeShade="40"/>
        </w:rPr>
        <w:t xml:space="preserve"> that that our work in achieving this </w:t>
      </w:r>
      <w:r w:rsidR="6F6E11B6" w:rsidRPr="5416D0A9">
        <w:rPr>
          <w:color w:val="3A3A3A" w:themeColor="background2" w:themeShade="40"/>
        </w:rPr>
        <w:t xml:space="preserve">is an ongoing journey as </w:t>
      </w:r>
      <w:r w:rsidR="6EF9291B" w:rsidRPr="5416D0A9">
        <w:rPr>
          <w:color w:val="3A3A3A" w:themeColor="background2" w:themeShade="40"/>
        </w:rPr>
        <w:t>opposed</w:t>
      </w:r>
      <w:r w:rsidR="6F6E11B6" w:rsidRPr="5416D0A9">
        <w:rPr>
          <w:color w:val="3A3A3A" w:themeColor="background2" w:themeShade="40"/>
        </w:rPr>
        <w:t xml:space="preserve"> to </w:t>
      </w:r>
      <w:proofErr w:type="gramStart"/>
      <w:r w:rsidR="6F6E11B6" w:rsidRPr="5416D0A9">
        <w:rPr>
          <w:color w:val="3A3A3A" w:themeColor="background2" w:themeShade="40"/>
        </w:rPr>
        <w:t>a</w:t>
      </w:r>
      <w:r w:rsidR="77C8B5E2" w:rsidRPr="5416D0A9">
        <w:rPr>
          <w:color w:val="3A3A3A" w:themeColor="background2" w:themeShade="40"/>
        </w:rPr>
        <w:t xml:space="preserve"> final</w:t>
      </w:r>
      <w:r w:rsidR="6F6E11B6" w:rsidRPr="5416D0A9">
        <w:rPr>
          <w:color w:val="3A3A3A" w:themeColor="background2" w:themeShade="40"/>
        </w:rPr>
        <w:t xml:space="preserve"> destination</w:t>
      </w:r>
      <w:proofErr w:type="gramEnd"/>
      <w:r w:rsidR="6F6E11B6" w:rsidRPr="5416D0A9">
        <w:rPr>
          <w:color w:val="3A3A3A" w:themeColor="background2" w:themeShade="40"/>
        </w:rPr>
        <w:t xml:space="preserve"> and that EDI needs should be considered in </w:t>
      </w:r>
      <w:r w:rsidR="5C757F0E" w:rsidRPr="5416D0A9">
        <w:rPr>
          <w:color w:val="3A3A3A" w:themeColor="background2" w:themeShade="40"/>
        </w:rPr>
        <w:t>all</w:t>
      </w:r>
      <w:r w:rsidR="6F6E11B6" w:rsidRPr="5416D0A9">
        <w:rPr>
          <w:color w:val="3A3A3A" w:themeColor="background2" w:themeShade="40"/>
        </w:rPr>
        <w:t xml:space="preserve"> the work we do. We aim to achieve this through thorough data analysis, engaging with the student voice</w:t>
      </w:r>
      <w:r w:rsidR="64FE44DB" w:rsidRPr="5416D0A9">
        <w:rPr>
          <w:color w:val="3A3A3A" w:themeColor="background2" w:themeShade="40"/>
        </w:rPr>
        <w:t xml:space="preserve"> and ongoing training and development both for the counselling team and the wider University</w:t>
      </w:r>
      <w:r w:rsidR="15180110" w:rsidRPr="5416D0A9">
        <w:rPr>
          <w:color w:val="3A3A3A" w:themeColor="background2" w:themeShade="40"/>
        </w:rPr>
        <w:t>.</w:t>
      </w:r>
    </w:p>
    <w:p w14:paraId="4A816649" w14:textId="1E30190D" w:rsidR="016D0D37" w:rsidRDefault="016D0D37" w:rsidP="5416D0A9">
      <w:pPr>
        <w:rPr>
          <w:color w:val="3A3A3A" w:themeColor="background2" w:themeShade="40"/>
        </w:rPr>
      </w:pPr>
      <w:proofErr w:type="gramStart"/>
      <w:r w:rsidRPr="5416D0A9">
        <w:rPr>
          <w:color w:val="3A3A3A" w:themeColor="background2" w:themeShade="40"/>
        </w:rPr>
        <w:t>In particular we</w:t>
      </w:r>
      <w:proofErr w:type="gramEnd"/>
      <w:r w:rsidRPr="5416D0A9">
        <w:rPr>
          <w:color w:val="3A3A3A" w:themeColor="background2" w:themeShade="40"/>
        </w:rPr>
        <w:t>:</w:t>
      </w:r>
    </w:p>
    <w:p w14:paraId="564D4F3B" w14:textId="2B9B36CF" w:rsidR="016D0D37" w:rsidRDefault="016D0D37" w:rsidP="5416D0A9">
      <w:pPr>
        <w:pStyle w:val="ListParagraph"/>
        <w:numPr>
          <w:ilvl w:val="0"/>
          <w:numId w:val="2"/>
        </w:numPr>
        <w:rPr>
          <w:color w:val="3A3A3A" w:themeColor="background2" w:themeShade="40"/>
        </w:rPr>
      </w:pPr>
      <w:proofErr w:type="spellStart"/>
      <w:r w:rsidRPr="5416D0A9">
        <w:rPr>
          <w:color w:val="3A3A3A" w:themeColor="background2" w:themeShade="40"/>
        </w:rPr>
        <w:lastRenderedPageBreak/>
        <w:t>endeavour</w:t>
      </w:r>
      <w:proofErr w:type="spellEnd"/>
      <w:r w:rsidRPr="5416D0A9">
        <w:rPr>
          <w:color w:val="3A3A3A" w:themeColor="background2" w:themeShade="40"/>
        </w:rPr>
        <w:t xml:space="preserve"> to demonstrate equality, value diversity and ensure inclusion for all students</w:t>
      </w:r>
    </w:p>
    <w:p w14:paraId="3A2AD390" w14:textId="6F3C9C07" w:rsidR="016D0D37" w:rsidRDefault="016D0D37" w:rsidP="5416D0A9">
      <w:pPr>
        <w:pStyle w:val="ListParagraph"/>
        <w:numPr>
          <w:ilvl w:val="0"/>
          <w:numId w:val="2"/>
        </w:numPr>
        <w:rPr>
          <w:color w:val="3A3A3A" w:themeColor="background2" w:themeShade="40"/>
        </w:rPr>
      </w:pPr>
      <w:r w:rsidRPr="5416D0A9">
        <w:rPr>
          <w:color w:val="3A3A3A" w:themeColor="background2" w:themeShade="40"/>
        </w:rPr>
        <w:t>avoid directly or indirectly discriminating against clients and colleagues</w:t>
      </w:r>
    </w:p>
    <w:p w14:paraId="0B15F07E" w14:textId="0541E1D4" w:rsidR="016D0D37" w:rsidRDefault="016D0D37" w:rsidP="5416D0A9">
      <w:pPr>
        <w:pStyle w:val="ListParagraph"/>
        <w:numPr>
          <w:ilvl w:val="0"/>
          <w:numId w:val="2"/>
        </w:numPr>
        <w:rPr>
          <w:color w:val="3A3A3A" w:themeColor="background2" w:themeShade="40"/>
        </w:rPr>
      </w:pPr>
      <w:r w:rsidRPr="5416D0A9">
        <w:rPr>
          <w:color w:val="3A3A3A" w:themeColor="background2" w:themeShade="40"/>
        </w:rPr>
        <w:t xml:space="preserve">accept that we can all experience unconscious bias and </w:t>
      </w:r>
      <w:proofErr w:type="spellStart"/>
      <w:r w:rsidRPr="5416D0A9">
        <w:rPr>
          <w:color w:val="3A3A3A" w:themeColor="background2" w:themeShade="40"/>
        </w:rPr>
        <w:t>recognise</w:t>
      </w:r>
      <w:proofErr w:type="spellEnd"/>
      <w:r w:rsidRPr="5416D0A9">
        <w:rPr>
          <w:color w:val="3A3A3A" w:themeColor="background2" w:themeShade="40"/>
        </w:rPr>
        <w:t xml:space="preserve"> the importance of self-inquiry, personal feedback and professional development</w:t>
      </w:r>
    </w:p>
    <w:p w14:paraId="3DCEFC18" w14:textId="3E975A01" w:rsidR="0CAEFF10" w:rsidRDefault="3B3CCCE5" w:rsidP="7607AEB5">
      <w:pPr>
        <w:pStyle w:val="ListParagraph"/>
        <w:numPr>
          <w:ilvl w:val="0"/>
          <w:numId w:val="2"/>
        </w:numPr>
        <w:rPr>
          <w:color w:val="3A3A3A" w:themeColor="background2" w:themeShade="40"/>
        </w:rPr>
      </w:pPr>
      <w:proofErr w:type="gramStart"/>
      <w:r w:rsidRPr="7607AEB5">
        <w:rPr>
          <w:color w:val="3A3A3A" w:themeColor="background2" w:themeShade="40"/>
        </w:rPr>
        <w:t>M</w:t>
      </w:r>
      <w:r w:rsidR="3597EBE0" w:rsidRPr="7607AEB5">
        <w:rPr>
          <w:color w:val="3A3A3A" w:themeColor="background2" w:themeShade="40"/>
        </w:rPr>
        <w:t>ake</w:t>
      </w:r>
      <w:r w:rsidRPr="7607AEB5">
        <w:rPr>
          <w:color w:val="3A3A3A" w:themeColor="background2" w:themeShade="40"/>
        </w:rPr>
        <w:t xml:space="preserve"> </w:t>
      </w:r>
      <w:r w:rsidR="3597EBE0" w:rsidRPr="7607AEB5">
        <w:rPr>
          <w:color w:val="3A3A3A" w:themeColor="background2" w:themeShade="40"/>
        </w:rPr>
        <w:t>adjustments to</w:t>
      </w:r>
      <w:proofErr w:type="gramEnd"/>
      <w:r w:rsidR="3597EBE0" w:rsidRPr="7607AEB5">
        <w:rPr>
          <w:color w:val="3A3A3A" w:themeColor="background2" w:themeShade="40"/>
        </w:rPr>
        <w:t xml:space="preserve"> overcome barriers to accessibility, so far as is reasonably possible, for clients of any </w:t>
      </w:r>
      <w:r w:rsidR="2D801750" w:rsidRPr="7607AEB5">
        <w:rPr>
          <w:color w:val="3A3A3A" w:themeColor="background2" w:themeShade="40"/>
        </w:rPr>
        <w:t>background</w:t>
      </w:r>
      <w:r w:rsidR="3597EBE0" w:rsidRPr="7607AEB5">
        <w:rPr>
          <w:color w:val="3A3A3A" w:themeColor="background2" w:themeShade="40"/>
        </w:rPr>
        <w:t xml:space="preserve"> wishing to engage with our service</w:t>
      </w:r>
    </w:p>
    <w:p w14:paraId="094987A8" w14:textId="501CFE0F" w:rsidR="259D3E67" w:rsidRDefault="259D3E67" w:rsidP="5416D0A9">
      <w:pPr>
        <w:pStyle w:val="ListParagraph"/>
        <w:numPr>
          <w:ilvl w:val="0"/>
          <w:numId w:val="2"/>
        </w:numPr>
        <w:rPr>
          <w:color w:val="3A3A3A" w:themeColor="background2" w:themeShade="40"/>
        </w:rPr>
      </w:pPr>
      <w:proofErr w:type="spellStart"/>
      <w:r w:rsidRPr="5416D0A9">
        <w:rPr>
          <w:color w:val="3A3A3A" w:themeColor="background2" w:themeShade="40"/>
        </w:rPr>
        <w:t>recognise</w:t>
      </w:r>
      <w:proofErr w:type="spellEnd"/>
      <w:r w:rsidRPr="5416D0A9">
        <w:rPr>
          <w:color w:val="3A3A3A" w:themeColor="background2" w:themeShade="40"/>
        </w:rPr>
        <w:t xml:space="preserve"> when our </w:t>
      </w:r>
      <w:r w:rsidR="42D51765" w:rsidRPr="5416D0A9">
        <w:rPr>
          <w:color w:val="3A3A3A" w:themeColor="background2" w:themeShade="40"/>
        </w:rPr>
        <w:t>knowledge</w:t>
      </w:r>
      <w:r w:rsidRPr="5416D0A9">
        <w:rPr>
          <w:color w:val="3A3A3A" w:themeColor="background2" w:themeShade="40"/>
        </w:rPr>
        <w:t xml:space="preserve"> of key aspects of our </w:t>
      </w:r>
      <w:proofErr w:type="gramStart"/>
      <w:r w:rsidRPr="5416D0A9">
        <w:rPr>
          <w:color w:val="3A3A3A" w:themeColor="background2" w:themeShade="40"/>
        </w:rPr>
        <w:t>clients</w:t>
      </w:r>
      <w:proofErr w:type="gramEnd"/>
      <w:r w:rsidRPr="5416D0A9">
        <w:rPr>
          <w:color w:val="3A3A3A" w:themeColor="background2" w:themeShade="40"/>
        </w:rPr>
        <w:t xml:space="preserve"> background, identity or lifestyle is inadequate and take steps to inform</w:t>
      </w:r>
      <w:r w:rsidR="60F23608" w:rsidRPr="5416D0A9">
        <w:rPr>
          <w:color w:val="3A3A3A" w:themeColor="background2" w:themeShade="40"/>
        </w:rPr>
        <w:t xml:space="preserve"> and educate</w:t>
      </w:r>
      <w:r w:rsidRPr="5416D0A9">
        <w:rPr>
          <w:color w:val="3A3A3A" w:themeColor="background2" w:themeShade="40"/>
        </w:rPr>
        <w:t xml:space="preserve"> ourselves</w:t>
      </w:r>
      <w:r w:rsidR="19AB97B0" w:rsidRPr="5416D0A9">
        <w:rPr>
          <w:color w:val="3A3A3A" w:themeColor="background2" w:themeShade="40"/>
        </w:rPr>
        <w:t xml:space="preserve"> </w:t>
      </w:r>
      <w:r w:rsidR="20F56574" w:rsidRPr="5416D0A9">
        <w:rPr>
          <w:color w:val="3A3A3A" w:themeColor="background2" w:themeShade="40"/>
        </w:rPr>
        <w:t>through reliable resources</w:t>
      </w:r>
    </w:p>
    <w:p w14:paraId="2E279705" w14:textId="677EF202" w:rsidR="7584A97C" w:rsidRDefault="7584A97C" w:rsidP="5416D0A9">
      <w:pPr>
        <w:pStyle w:val="ListParagraph"/>
        <w:numPr>
          <w:ilvl w:val="0"/>
          <w:numId w:val="2"/>
        </w:numPr>
        <w:rPr>
          <w:color w:val="3A3A3A" w:themeColor="background2" w:themeShade="40"/>
        </w:rPr>
      </w:pPr>
      <w:r w:rsidRPr="5416D0A9">
        <w:rPr>
          <w:color w:val="3A3A3A" w:themeColor="background2" w:themeShade="40"/>
        </w:rPr>
        <w:t>Aim to allocate specific Counsellors</w:t>
      </w:r>
      <w:r w:rsidR="761659EA" w:rsidRPr="5416D0A9">
        <w:rPr>
          <w:color w:val="3A3A3A" w:themeColor="background2" w:themeShade="40"/>
        </w:rPr>
        <w:t>, where possible,</w:t>
      </w:r>
      <w:r w:rsidRPr="5416D0A9">
        <w:rPr>
          <w:color w:val="3A3A3A" w:themeColor="background2" w:themeShade="40"/>
        </w:rPr>
        <w:t xml:space="preserve"> to students who have requested or may benefit from</w:t>
      </w:r>
      <w:r w:rsidR="2BCAAD59" w:rsidRPr="5416D0A9">
        <w:rPr>
          <w:color w:val="3A3A3A" w:themeColor="background2" w:themeShade="40"/>
        </w:rPr>
        <w:t xml:space="preserve"> working with a counsellor from a particular background or lived experience</w:t>
      </w:r>
    </w:p>
    <w:p w14:paraId="32A5FBB4" w14:textId="1F7B203E" w:rsidR="67B178BF" w:rsidRDefault="67B178BF" w:rsidP="5416D0A9">
      <w:pPr>
        <w:rPr>
          <w:color w:val="3A3A3A" w:themeColor="background2" w:themeShade="40"/>
        </w:rPr>
      </w:pPr>
      <w:r w:rsidRPr="5416D0A9">
        <w:rPr>
          <w:color w:val="3A3A3A" w:themeColor="background2" w:themeShade="40"/>
        </w:rPr>
        <w:t>Feedback</w:t>
      </w:r>
      <w:r w:rsidR="3A04DF78" w:rsidRPr="5416D0A9">
        <w:rPr>
          <w:color w:val="3A3A3A" w:themeColor="background2" w:themeShade="40"/>
        </w:rPr>
        <w:t xml:space="preserve"> and analysis</w:t>
      </w:r>
      <w:r w:rsidRPr="5416D0A9">
        <w:rPr>
          <w:color w:val="3A3A3A" w:themeColor="background2" w:themeShade="40"/>
        </w:rPr>
        <w:t>:</w:t>
      </w:r>
    </w:p>
    <w:p w14:paraId="2519F49A" w14:textId="5DE5F098" w:rsidR="67B178BF" w:rsidRDefault="67B178BF" w:rsidP="5416D0A9">
      <w:pPr>
        <w:rPr>
          <w:color w:val="3A3A3A" w:themeColor="background2" w:themeShade="40"/>
        </w:rPr>
      </w:pPr>
      <w:r w:rsidRPr="5416D0A9">
        <w:rPr>
          <w:color w:val="3A3A3A" w:themeColor="background2" w:themeShade="40"/>
        </w:rPr>
        <w:t>To support our EDI Strategy and make ongoing improvements. We will actively seek feedback by:</w:t>
      </w:r>
    </w:p>
    <w:p w14:paraId="1C391EE7" w14:textId="185F1919" w:rsidR="04B71683" w:rsidRDefault="04B71683" w:rsidP="5416D0A9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proofErr w:type="spellStart"/>
      <w:r w:rsidRPr="5416D0A9">
        <w:rPr>
          <w:color w:val="3A3A3A" w:themeColor="background2" w:themeShade="40"/>
        </w:rPr>
        <w:t>enagaging</w:t>
      </w:r>
      <w:proofErr w:type="spellEnd"/>
      <w:r w:rsidRPr="5416D0A9">
        <w:rPr>
          <w:color w:val="3A3A3A" w:themeColor="background2" w:themeShade="40"/>
        </w:rPr>
        <w:t xml:space="preserve"> with the student voice including </w:t>
      </w:r>
      <w:r w:rsidR="21352099" w:rsidRPr="5416D0A9">
        <w:rPr>
          <w:color w:val="3A3A3A" w:themeColor="background2" w:themeShade="40"/>
        </w:rPr>
        <w:t>regular</w:t>
      </w:r>
      <w:r w:rsidRPr="5416D0A9">
        <w:rPr>
          <w:color w:val="3A3A3A" w:themeColor="background2" w:themeShade="40"/>
        </w:rPr>
        <w:t xml:space="preserve"> liaison with the Students Union who act as </w:t>
      </w:r>
      <w:r w:rsidR="7F614A01" w:rsidRPr="5416D0A9">
        <w:rPr>
          <w:color w:val="3A3A3A" w:themeColor="background2" w:themeShade="40"/>
        </w:rPr>
        <w:t>our</w:t>
      </w:r>
      <w:r w:rsidRPr="5416D0A9">
        <w:rPr>
          <w:color w:val="3A3A3A" w:themeColor="background2" w:themeShade="40"/>
        </w:rPr>
        <w:t xml:space="preserve"> critical fri</w:t>
      </w:r>
      <w:r w:rsidR="5D43442B" w:rsidRPr="5416D0A9">
        <w:rPr>
          <w:color w:val="3A3A3A" w:themeColor="background2" w:themeShade="40"/>
        </w:rPr>
        <w:t>end and</w:t>
      </w:r>
      <w:r w:rsidR="3E0BBABD" w:rsidRPr="5416D0A9">
        <w:rPr>
          <w:color w:val="3A3A3A" w:themeColor="background2" w:themeShade="40"/>
        </w:rPr>
        <w:t xml:space="preserve"> a</w:t>
      </w:r>
      <w:r w:rsidR="5D43442B" w:rsidRPr="5416D0A9">
        <w:rPr>
          <w:color w:val="3A3A3A" w:themeColor="background2" w:themeShade="40"/>
        </w:rPr>
        <w:t xml:space="preserve"> voice for the student body</w:t>
      </w:r>
    </w:p>
    <w:p w14:paraId="431A7DC3" w14:textId="4A74D2F1" w:rsidR="67BF8FC0" w:rsidRDefault="67BF8FC0" w:rsidP="5416D0A9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r w:rsidRPr="5416D0A9">
        <w:rPr>
          <w:color w:val="3A3A3A" w:themeColor="background2" w:themeShade="40"/>
        </w:rPr>
        <w:t>m</w:t>
      </w:r>
      <w:r w:rsidR="6E859332" w:rsidRPr="5416D0A9">
        <w:rPr>
          <w:color w:val="3A3A3A" w:themeColor="background2" w:themeShade="40"/>
        </w:rPr>
        <w:t xml:space="preserve">onitoring service </w:t>
      </w:r>
      <w:r w:rsidR="3DB15B6D" w:rsidRPr="5416D0A9">
        <w:rPr>
          <w:color w:val="3A3A3A" w:themeColor="background2" w:themeShade="40"/>
        </w:rPr>
        <w:t>usage</w:t>
      </w:r>
      <w:r w:rsidR="6E859332" w:rsidRPr="5416D0A9">
        <w:rPr>
          <w:color w:val="3A3A3A" w:themeColor="background2" w:themeShade="40"/>
        </w:rPr>
        <w:t xml:space="preserve"> based on characteristics</w:t>
      </w:r>
      <w:r w:rsidR="295569E8" w:rsidRPr="5416D0A9">
        <w:rPr>
          <w:color w:val="3A3A3A" w:themeColor="background2" w:themeShade="40"/>
        </w:rPr>
        <w:t xml:space="preserve"> including gender, sexual orientation, age, ethnicity and disability </w:t>
      </w:r>
      <w:r w:rsidR="03282C16" w:rsidRPr="5416D0A9">
        <w:rPr>
          <w:color w:val="3A3A3A" w:themeColor="background2" w:themeShade="40"/>
        </w:rPr>
        <w:t xml:space="preserve">and take steps to improve accessibility to </w:t>
      </w:r>
      <w:proofErr w:type="spellStart"/>
      <w:r w:rsidR="03282C16" w:rsidRPr="5416D0A9">
        <w:rPr>
          <w:color w:val="3A3A3A" w:themeColor="background2" w:themeShade="40"/>
        </w:rPr>
        <w:t>underutilising</w:t>
      </w:r>
      <w:proofErr w:type="spellEnd"/>
      <w:r w:rsidR="03282C16" w:rsidRPr="5416D0A9">
        <w:rPr>
          <w:color w:val="3A3A3A" w:themeColor="background2" w:themeShade="40"/>
        </w:rPr>
        <w:t xml:space="preserve"> communities though active outreach</w:t>
      </w:r>
      <w:r w:rsidR="4207052B" w:rsidRPr="5416D0A9">
        <w:rPr>
          <w:color w:val="3A3A3A" w:themeColor="background2" w:themeShade="40"/>
        </w:rPr>
        <w:t xml:space="preserve"> and our program of groups and workshops</w:t>
      </w:r>
    </w:p>
    <w:p w14:paraId="5CD88C1C" w14:textId="1F7B9D51" w:rsidR="4207052B" w:rsidRDefault="4207052B" w:rsidP="5416D0A9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r w:rsidRPr="5416D0A9">
        <w:rPr>
          <w:color w:val="3A3A3A" w:themeColor="background2" w:themeShade="40"/>
        </w:rPr>
        <w:t>collecting anonymous student feedback to monitor student experience and service standards and reflect on area</w:t>
      </w:r>
      <w:r w:rsidR="68550D49" w:rsidRPr="5416D0A9">
        <w:rPr>
          <w:color w:val="3A3A3A" w:themeColor="background2" w:themeShade="40"/>
        </w:rPr>
        <w:t>s for improvement</w:t>
      </w:r>
    </w:p>
    <w:p w14:paraId="59A05C23" w14:textId="317DD8B6" w:rsidR="0BA0FA5F" w:rsidRDefault="0BA0FA5F" w:rsidP="7607AEB5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r w:rsidRPr="7607AEB5">
        <w:rPr>
          <w:color w:val="3A3A3A" w:themeColor="background2" w:themeShade="40"/>
        </w:rPr>
        <w:t>regularly meet with referrers, academic schools and professional services to raise awareness of our service provision</w:t>
      </w:r>
      <w:r w:rsidR="7B9862F4" w:rsidRPr="7607AEB5">
        <w:rPr>
          <w:color w:val="3A3A3A" w:themeColor="background2" w:themeShade="40"/>
        </w:rPr>
        <w:t>, gain feedback on service provision</w:t>
      </w:r>
      <w:r w:rsidRPr="7607AEB5">
        <w:rPr>
          <w:color w:val="3A3A3A" w:themeColor="background2" w:themeShade="40"/>
        </w:rPr>
        <w:t xml:space="preserve"> and consider demand for new services or developments</w:t>
      </w:r>
    </w:p>
    <w:p w14:paraId="4BA86B50" w14:textId="565C9A79" w:rsidR="5416D0A9" w:rsidRDefault="5416D0A9" w:rsidP="5416D0A9">
      <w:pPr>
        <w:pStyle w:val="ListParagraph"/>
        <w:rPr>
          <w:color w:val="3A3A3A" w:themeColor="background2" w:themeShade="40"/>
        </w:rPr>
      </w:pPr>
    </w:p>
    <w:p w14:paraId="113D2ED9" w14:textId="34580E39" w:rsidR="5416D0A9" w:rsidRDefault="5416D0A9" w:rsidP="5416D0A9">
      <w:pPr>
        <w:rPr>
          <w:color w:val="3A3A3A" w:themeColor="background2" w:themeShade="40"/>
        </w:rPr>
      </w:pPr>
    </w:p>
    <w:p w14:paraId="27413FA2" w14:textId="252369B8" w:rsidR="5416D0A9" w:rsidRDefault="5416D0A9" w:rsidP="5416D0A9">
      <w:pPr>
        <w:rPr>
          <w:color w:val="3A3A3A" w:themeColor="background2" w:themeShade="40"/>
        </w:rPr>
      </w:pPr>
    </w:p>
    <w:p w14:paraId="4C5E898D" w14:textId="3EE8D633" w:rsidR="61CCD82E" w:rsidRDefault="61CCD82E" w:rsidP="5416D0A9">
      <w:pPr>
        <w:rPr>
          <w:color w:val="3A3A3A" w:themeColor="background2" w:themeShade="40"/>
        </w:rPr>
      </w:pPr>
      <w:proofErr w:type="gramStart"/>
      <w:r w:rsidRPr="5416D0A9">
        <w:rPr>
          <w:color w:val="3A3A3A" w:themeColor="background2" w:themeShade="40"/>
        </w:rPr>
        <w:t>Review :</w:t>
      </w:r>
      <w:proofErr w:type="gramEnd"/>
      <w:r w:rsidRPr="5416D0A9">
        <w:rPr>
          <w:color w:val="3A3A3A" w:themeColor="background2" w:themeShade="40"/>
        </w:rPr>
        <w:t xml:space="preserve"> August 2025</w:t>
      </w:r>
    </w:p>
    <w:p w14:paraId="3E6C9863" w14:textId="4BB7EEAB" w:rsidR="48F31881" w:rsidRDefault="48F31881" w:rsidP="7607AEB5">
      <w:pPr>
        <w:rPr>
          <w:color w:val="3A3A3A" w:themeColor="background2" w:themeShade="40"/>
        </w:rPr>
      </w:pPr>
      <w:r w:rsidRPr="7607AEB5">
        <w:rPr>
          <w:color w:val="3A3A3A" w:themeColor="background2" w:themeShade="40"/>
        </w:rPr>
        <w:t>Reviewer: Senior Counsellor</w:t>
      </w:r>
      <w:r w:rsidR="025B210D" w:rsidRPr="7607AEB5">
        <w:rPr>
          <w:color w:val="3A3A3A" w:themeColor="background2" w:themeShade="40"/>
        </w:rPr>
        <w:t>s</w:t>
      </w:r>
      <w:r w:rsidRPr="7607AEB5">
        <w:rPr>
          <w:color w:val="3A3A3A" w:themeColor="background2" w:themeShade="40"/>
        </w:rPr>
        <w:t xml:space="preserve"> – </w:t>
      </w:r>
      <w:r w:rsidR="46F8EC74" w:rsidRPr="7607AEB5">
        <w:rPr>
          <w:color w:val="3A3A3A" w:themeColor="background2" w:themeShade="40"/>
        </w:rPr>
        <w:t xml:space="preserve">Clinical and </w:t>
      </w:r>
      <w:r w:rsidRPr="7607AEB5">
        <w:rPr>
          <w:color w:val="3A3A3A" w:themeColor="background2" w:themeShade="40"/>
        </w:rPr>
        <w:t>EDI Lead</w:t>
      </w:r>
      <w:r w:rsidR="156C96BB" w:rsidRPr="7607AEB5">
        <w:rPr>
          <w:color w:val="3A3A3A" w:themeColor="background2" w:themeShade="40"/>
        </w:rPr>
        <w:t>s</w:t>
      </w:r>
    </w:p>
    <w:p w14:paraId="3903F0FD" w14:textId="3314FC4A" w:rsidR="5416D0A9" w:rsidRDefault="5416D0A9" w:rsidP="5416D0A9">
      <w:pPr>
        <w:rPr>
          <w:color w:val="3A3A3A" w:themeColor="background2" w:themeShade="40"/>
        </w:rPr>
      </w:pPr>
    </w:p>
    <w:p w14:paraId="62241B0A" w14:textId="503ABCC5" w:rsidR="5416D0A9" w:rsidRDefault="5416D0A9"/>
    <w:sectPr w:rsidR="5416D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DB57"/>
    <w:multiLevelType w:val="hybridMultilevel"/>
    <w:tmpl w:val="4FA03076"/>
    <w:lvl w:ilvl="0" w:tplc="75723196">
      <w:start w:val="1"/>
      <w:numFmt w:val="lowerLetter"/>
      <w:lvlText w:val="%1."/>
      <w:lvlJc w:val="left"/>
      <w:pPr>
        <w:ind w:left="720" w:hanging="360"/>
      </w:pPr>
    </w:lvl>
    <w:lvl w:ilvl="1" w:tplc="D40660E2">
      <w:start w:val="1"/>
      <w:numFmt w:val="lowerLetter"/>
      <w:lvlText w:val="%2."/>
      <w:lvlJc w:val="left"/>
      <w:pPr>
        <w:ind w:left="1440" w:hanging="360"/>
      </w:pPr>
    </w:lvl>
    <w:lvl w:ilvl="2" w:tplc="3EE08B0E">
      <w:start w:val="1"/>
      <w:numFmt w:val="lowerRoman"/>
      <w:lvlText w:val="%3."/>
      <w:lvlJc w:val="right"/>
      <w:pPr>
        <w:ind w:left="2160" w:hanging="180"/>
      </w:pPr>
    </w:lvl>
    <w:lvl w:ilvl="3" w:tplc="3AB0E1B8">
      <w:start w:val="1"/>
      <w:numFmt w:val="decimal"/>
      <w:lvlText w:val="%4."/>
      <w:lvlJc w:val="left"/>
      <w:pPr>
        <w:ind w:left="2880" w:hanging="360"/>
      </w:pPr>
    </w:lvl>
    <w:lvl w:ilvl="4" w:tplc="07C68392">
      <w:start w:val="1"/>
      <w:numFmt w:val="lowerLetter"/>
      <w:lvlText w:val="%5."/>
      <w:lvlJc w:val="left"/>
      <w:pPr>
        <w:ind w:left="3600" w:hanging="360"/>
      </w:pPr>
    </w:lvl>
    <w:lvl w:ilvl="5" w:tplc="0F429B02">
      <w:start w:val="1"/>
      <w:numFmt w:val="lowerRoman"/>
      <w:lvlText w:val="%6."/>
      <w:lvlJc w:val="right"/>
      <w:pPr>
        <w:ind w:left="4320" w:hanging="180"/>
      </w:pPr>
    </w:lvl>
    <w:lvl w:ilvl="6" w:tplc="379A8812">
      <w:start w:val="1"/>
      <w:numFmt w:val="decimal"/>
      <w:lvlText w:val="%7."/>
      <w:lvlJc w:val="left"/>
      <w:pPr>
        <w:ind w:left="5040" w:hanging="360"/>
      </w:pPr>
    </w:lvl>
    <w:lvl w:ilvl="7" w:tplc="ABDC9980">
      <w:start w:val="1"/>
      <w:numFmt w:val="lowerLetter"/>
      <w:lvlText w:val="%8."/>
      <w:lvlJc w:val="left"/>
      <w:pPr>
        <w:ind w:left="5760" w:hanging="360"/>
      </w:pPr>
    </w:lvl>
    <w:lvl w:ilvl="8" w:tplc="703631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6D8A"/>
    <w:multiLevelType w:val="hybridMultilevel"/>
    <w:tmpl w:val="AEF44358"/>
    <w:lvl w:ilvl="0" w:tplc="DF401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03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E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45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81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40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47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A0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6C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0C4E"/>
    <w:multiLevelType w:val="hybridMultilevel"/>
    <w:tmpl w:val="C78E157C"/>
    <w:lvl w:ilvl="0" w:tplc="8A9E7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8D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2E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B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8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2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82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0A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40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19246">
    <w:abstractNumId w:val="1"/>
  </w:num>
  <w:num w:numId="2" w16cid:durableId="1169293563">
    <w:abstractNumId w:val="0"/>
  </w:num>
  <w:num w:numId="3" w16cid:durableId="22599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5789E4"/>
    <w:rsid w:val="001A6288"/>
    <w:rsid w:val="00881427"/>
    <w:rsid w:val="00BA41E4"/>
    <w:rsid w:val="016D0D37"/>
    <w:rsid w:val="025B210D"/>
    <w:rsid w:val="031365A0"/>
    <w:rsid w:val="03282C16"/>
    <w:rsid w:val="03612C13"/>
    <w:rsid w:val="037CB7B5"/>
    <w:rsid w:val="038A1D74"/>
    <w:rsid w:val="049B142C"/>
    <w:rsid w:val="04B71683"/>
    <w:rsid w:val="05D684B6"/>
    <w:rsid w:val="06D3E210"/>
    <w:rsid w:val="078699DA"/>
    <w:rsid w:val="086E11E5"/>
    <w:rsid w:val="0962480E"/>
    <w:rsid w:val="0BA0FA5F"/>
    <w:rsid w:val="0CABBC27"/>
    <w:rsid w:val="0CAEFF10"/>
    <w:rsid w:val="0F8824F0"/>
    <w:rsid w:val="10F1085E"/>
    <w:rsid w:val="114D0F46"/>
    <w:rsid w:val="11B01645"/>
    <w:rsid w:val="11D2245E"/>
    <w:rsid w:val="13BA41C3"/>
    <w:rsid w:val="14222D0C"/>
    <w:rsid w:val="148D074B"/>
    <w:rsid w:val="15180110"/>
    <w:rsid w:val="156C96BB"/>
    <w:rsid w:val="163771D4"/>
    <w:rsid w:val="1718102A"/>
    <w:rsid w:val="17C29893"/>
    <w:rsid w:val="180A952F"/>
    <w:rsid w:val="186E6C04"/>
    <w:rsid w:val="18821075"/>
    <w:rsid w:val="19AB97B0"/>
    <w:rsid w:val="19BA8E59"/>
    <w:rsid w:val="1DDCB59E"/>
    <w:rsid w:val="20926AD1"/>
    <w:rsid w:val="20F56574"/>
    <w:rsid w:val="21352099"/>
    <w:rsid w:val="225789E4"/>
    <w:rsid w:val="22F85C17"/>
    <w:rsid w:val="259CA4EB"/>
    <w:rsid w:val="259D3E67"/>
    <w:rsid w:val="2696EEB7"/>
    <w:rsid w:val="295569E8"/>
    <w:rsid w:val="2A736966"/>
    <w:rsid w:val="2BCAAD59"/>
    <w:rsid w:val="2D801750"/>
    <w:rsid w:val="2E53B473"/>
    <w:rsid w:val="2EAFB2C9"/>
    <w:rsid w:val="2F9E06E2"/>
    <w:rsid w:val="31C4F1B1"/>
    <w:rsid w:val="326C9548"/>
    <w:rsid w:val="326DBFB9"/>
    <w:rsid w:val="32A4B675"/>
    <w:rsid w:val="3329D6E1"/>
    <w:rsid w:val="33816EF4"/>
    <w:rsid w:val="34B18200"/>
    <w:rsid w:val="34FF791B"/>
    <w:rsid w:val="3597EBE0"/>
    <w:rsid w:val="36948B16"/>
    <w:rsid w:val="37CAC333"/>
    <w:rsid w:val="37F48A6C"/>
    <w:rsid w:val="3851FA0F"/>
    <w:rsid w:val="3A04DF78"/>
    <w:rsid w:val="3B158D2F"/>
    <w:rsid w:val="3B3CCCE5"/>
    <w:rsid w:val="3BF026E9"/>
    <w:rsid w:val="3D71E4D4"/>
    <w:rsid w:val="3DB15B6D"/>
    <w:rsid w:val="3E0BBABD"/>
    <w:rsid w:val="3FFEE072"/>
    <w:rsid w:val="4071F573"/>
    <w:rsid w:val="4099FC54"/>
    <w:rsid w:val="4207052B"/>
    <w:rsid w:val="42D51765"/>
    <w:rsid w:val="44422712"/>
    <w:rsid w:val="45C1B315"/>
    <w:rsid w:val="45E80053"/>
    <w:rsid w:val="4602EC40"/>
    <w:rsid w:val="46F8EC74"/>
    <w:rsid w:val="48F31881"/>
    <w:rsid w:val="49305E0A"/>
    <w:rsid w:val="4C5DF931"/>
    <w:rsid w:val="4DAF5FE5"/>
    <w:rsid w:val="4EB0B668"/>
    <w:rsid w:val="4EEF956A"/>
    <w:rsid w:val="504D4B1F"/>
    <w:rsid w:val="50F81E00"/>
    <w:rsid w:val="511DEE6C"/>
    <w:rsid w:val="538AC0C7"/>
    <w:rsid w:val="5416D0A9"/>
    <w:rsid w:val="54EDE16E"/>
    <w:rsid w:val="5649B25C"/>
    <w:rsid w:val="56725A17"/>
    <w:rsid w:val="58B2E05E"/>
    <w:rsid w:val="58D546A9"/>
    <w:rsid w:val="59B5A85B"/>
    <w:rsid w:val="5B218BC2"/>
    <w:rsid w:val="5B284831"/>
    <w:rsid w:val="5C14C32B"/>
    <w:rsid w:val="5C757F0E"/>
    <w:rsid w:val="5D37BAFD"/>
    <w:rsid w:val="5D43442B"/>
    <w:rsid w:val="5E4F3F67"/>
    <w:rsid w:val="5FB1CB10"/>
    <w:rsid w:val="60875CCF"/>
    <w:rsid w:val="60F23608"/>
    <w:rsid w:val="616C4881"/>
    <w:rsid w:val="61CCD82E"/>
    <w:rsid w:val="61EC0D66"/>
    <w:rsid w:val="6302032B"/>
    <w:rsid w:val="6451085F"/>
    <w:rsid w:val="64FE44DB"/>
    <w:rsid w:val="6572496E"/>
    <w:rsid w:val="679351FC"/>
    <w:rsid w:val="67B178BF"/>
    <w:rsid w:val="67BF8FC0"/>
    <w:rsid w:val="68550D49"/>
    <w:rsid w:val="6B06AA7C"/>
    <w:rsid w:val="6B2ED72B"/>
    <w:rsid w:val="6B96D8FC"/>
    <w:rsid w:val="6CA90E9B"/>
    <w:rsid w:val="6E02DA47"/>
    <w:rsid w:val="6E859332"/>
    <w:rsid w:val="6EF9291B"/>
    <w:rsid w:val="6F6E11B6"/>
    <w:rsid w:val="6FD2946C"/>
    <w:rsid w:val="7296DE28"/>
    <w:rsid w:val="73C41B9E"/>
    <w:rsid w:val="73DD0663"/>
    <w:rsid w:val="74AA58E5"/>
    <w:rsid w:val="7584A97C"/>
    <w:rsid w:val="75ACB6C2"/>
    <w:rsid w:val="75EAC142"/>
    <w:rsid w:val="7607AEB5"/>
    <w:rsid w:val="761659EA"/>
    <w:rsid w:val="762B9B7D"/>
    <w:rsid w:val="7631957A"/>
    <w:rsid w:val="7679CD63"/>
    <w:rsid w:val="76992E33"/>
    <w:rsid w:val="77C8B5E2"/>
    <w:rsid w:val="788D65B8"/>
    <w:rsid w:val="798D4F73"/>
    <w:rsid w:val="7A3D064C"/>
    <w:rsid w:val="7B9862F4"/>
    <w:rsid w:val="7BDB373A"/>
    <w:rsid w:val="7F614A01"/>
    <w:rsid w:val="7F7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89E4"/>
  <w15:chartTrackingRefBased/>
  <w15:docId w15:val="{4BAB3194-CCA3-43A3-BB8F-8FC8ABD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ofnottm.sharepoint.com/sites/EDIinPrac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tingham.ac.uk/edi/edi-priorities.aspx" TargetMode="External"/><Relationship Id="rId5" Type="http://schemas.openxmlformats.org/officeDocument/2006/relationships/hyperlink" Target="https://www.bacp.co.uk/events-and-resources/ethics-and-standards/ethical-framework-for-the-counselling-professi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4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Turner (staff)</dc:creator>
  <cp:keywords/>
  <dc:description/>
  <cp:lastModifiedBy>Nicolette Poyzer</cp:lastModifiedBy>
  <cp:revision>2</cp:revision>
  <dcterms:created xsi:type="dcterms:W3CDTF">2024-09-17T09:07:00Z</dcterms:created>
  <dcterms:modified xsi:type="dcterms:W3CDTF">2024-09-17T09:07:00Z</dcterms:modified>
</cp:coreProperties>
</file>